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B" w:rsidRPr="0051095A" w:rsidRDefault="006B4ABB" w:rsidP="006B4ABB">
      <w:pPr>
        <w:spacing w:before="120" w:after="0" w:line="240" w:lineRule="auto"/>
        <w:rPr>
          <w:rFonts w:ascii="AkzidenzGroteskBQ-Bold" w:hAnsi="AkzidenzGroteskBQ-Bold" w:cs="Times New Roman"/>
          <w:color w:val="FF0000"/>
          <w:sz w:val="24"/>
          <w:szCs w:val="24"/>
        </w:rPr>
      </w:pPr>
      <w:r w:rsidRPr="0051095A">
        <w:rPr>
          <w:rFonts w:ascii="AkzidenzGroteskBQ-Bold" w:hAnsi="AkzidenzGroteskBQ-Bold" w:cs="Times New Roman"/>
          <w:color w:val="FF0000"/>
          <w:sz w:val="24"/>
          <w:szCs w:val="24"/>
        </w:rPr>
        <w:t>Ministerio de Industria</w:t>
      </w:r>
    </w:p>
    <w:p w:rsidR="00071530" w:rsidRDefault="006B4ABB" w:rsidP="00071530">
      <w:pPr>
        <w:autoSpaceDE w:val="0"/>
        <w:autoSpaceDN w:val="0"/>
        <w:adjustRightInd w:val="0"/>
        <w:spacing w:after="0" w:line="240" w:lineRule="auto"/>
        <w:jc w:val="both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  <w:r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Programa Mi Galpón</w:t>
      </w:r>
      <w:r w:rsidR="00F704E5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 xml:space="preserve"> </w:t>
      </w:r>
      <w:r w:rsidR="00071530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–</w:t>
      </w:r>
      <w:r w:rsidR="00F704E5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 xml:space="preserve"> </w:t>
      </w:r>
      <w:proofErr w:type="spellStart"/>
      <w:r w:rsidR="00F704E5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SEPyME</w:t>
      </w:r>
      <w:proofErr w:type="spellEnd"/>
    </w:p>
    <w:p w:rsidR="00071530" w:rsidRPr="009B4AFC" w:rsidRDefault="00071530" w:rsidP="00071530">
      <w:pPr>
        <w:autoSpaceDE w:val="0"/>
        <w:autoSpaceDN w:val="0"/>
        <w:adjustRightInd w:val="0"/>
        <w:spacing w:after="0" w:line="240" w:lineRule="auto"/>
        <w:jc w:val="both"/>
        <w:rPr>
          <w:rFonts w:ascii="AkzidenzGroteskBQ-Bold" w:hAnsi="AkzidenzGroteskBQ-Bold" w:cs="AkzidenzGroteskBQ-Bold"/>
          <w:b/>
          <w:bCs/>
          <w:color w:val="000000"/>
          <w:sz w:val="8"/>
          <w:szCs w:val="8"/>
          <w:lang w:val="es-AR"/>
        </w:rPr>
      </w:pPr>
    </w:p>
    <w:p w:rsidR="006B4ABB" w:rsidRPr="009B4AFC" w:rsidRDefault="006B4ABB" w:rsidP="00071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zidenzGroteskBE-Regular}" w:hAnsi="AkzidenzGroteskBE-Regular}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Con el objetivo de impulsar el desarrollo de las </w:t>
      </w:r>
      <w:proofErr w:type="spellStart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MIPyMEs</w:t>
      </w:r>
      <w:proofErr w:type="spellEnd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mediante el acceso a la unidad productiva propia, el Ministerio de Industria, a través de la Secretaría de la Pequeña y Mediana Empresa y Desarrollo Regional, bonifica parte de la tasa de interés de los créditos otorgados por la línea “Financiamiento de Inversiones de Actividades para las </w:t>
      </w:r>
      <w:proofErr w:type="spellStart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MIPyMEs</w:t>
      </w:r>
      <w:proofErr w:type="spellEnd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Reglamentación N° 400/23” del Banco de la Nación Argentina.</w:t>
      </w:r>
      <w:r w:rsidR="00D31F5D" w:rsidRPr="009B4A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31F5D" w:rsidRPr="009B4AFC">
        <w:rPr>
          <w:rFonts w:ascii="Arial" w:hAnsi="Arial" w:cs="Arial"/>
          <w:b/>
          <w:bCs/>
          <w:color w:val="000000"/>
          <w:sz w:val="18"/>
          <w:szCs w:val="18"/>
        </w:rPr>
        <w:t xml:space="preserve">– </w:t>
      </w:r>
      <w:r w:rsidR="00D31F5D" w:rsidRPr="009B4AFC">
        <w:rPr>
          <w:rFonts w:ascii="AkzidenzGroteskBE-Regular}" w:hAnsi="AkzidenzGroteskBE-Regular}" w:cs="Arial"/>
          <w:b/>
          <w:bCs/>
          <w:color w:val="000000"/>
          <w:sz w:val="18"/>
          <w:szCs w:val="18"/>
        </w:rPr>
        <w:t>Nuevo Tratamiento Especial para la Adquisición de Galpones Industriales nuevos y usados”.</w:t>
      </w:r>
    </w:p>
    <w:p w:rsidR="006B4ABB" w:rsidRPr="009B4AFC" w:rsidRDefault="006B4ABB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Bold" w:hAnsi="AkzidenzGroteskBE-Bold" w:cs="AkzidenzGroteskBE-Bold"/>
          <w:b/>
          <w:bCs/>
          <w:color w:val="C10419"/>
          <w:sz w:val="18"/>
          <w:szCs w:val="18"/>
          <w:lang w:val="es-AR"/>
        </w:rPr>
        <w:t xml:space="preserve">Destino: 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construcción o adquisición de galpones</w:t>
      </w:r>
      <w:r w:rsidR="00DF765F"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nuevos o usados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para uso industrial.</w:t>
      </w:r>
    </w:p>
    <w:p w:rsidR="006B4ABB" w:rsidRPr="009B4AFC" w:rsidRDefault="006B4ABB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Bold" w:hAnsi="AkzidenzGroteskBE-Bold" w:cs="AkzidenzGroteskBE-Bold"/>
          <w:b/>
          <w:bCs/>
          <w:color w:val="C10419"/>
          <w:sz w:val="18"/>
          <w:szCs w:val="18"/>
          <w:lang w:val="es-AR"/>
        </w:rPr>
        <w:t xml:space="preserve">Usuarios: </w:t>
      </w:r>
      <w:proofErr w:type="spellStart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MIPyMEs</w:t>
      </w:r>
      <w:proofErr w:type="spellEnd"/>
      <w:r w:rsidR="00D31F5D"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</w:t>
      </w:r>
      <w:r w:rsidR="00D31F5D" w:rsidRPr="009B4AFC">
        <w:rPr>
          <w:rFonts w:ascii="AkzidenzGroteskBE-Regular" w:hAnsi="AkzidenzGroteskBE-Regular" w:cs="Arial"/>
          <w:bCs/>
          <w:color w:val="000000"/>
          <w:sz w:val="18"/>
          <w:szCs w:val="18"/>
        </w:rPr>
        <w:t>(conforme a los parámetros establecidos en la Resolución SPME Nº 24/01, sus modificaciones y complementarias),</w:t>
      </w:r>
      <w:r w:rsidR="00D31F5D" w:rsidRPr="009B4AFC">
        <w:rPr>
          <w:rFonts w:ascii="Arial" w:hAnsi="Arial" w:cs="Arial"/>
          <w:bCs/>
          <w:color w:val="000000"/>
          <w:sz w:val="18"/>
          <w:szCs w:val="18"/>
        </w:rPr>
        <w:t> 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bajo cualquier forma societaria o unipersonal de los sectores económicos, industriales, comerciales, de la construcción y de los servicios destinados al mercado interno o a la exportación</w:t>
      </w:r>
      <w:r w:rsidR="00D31F5D"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, que desarrollen actividad industrial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.</w:t>
      </w: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 xml:space="preserve">Las Cooperativas serán sujeto del beneficio de bonificación de tasa cuando cumplan con los siguientes requisitos: </w:t>
      </w: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 xml:space="preserve">(a) no superen la facturación límite prevista en la Resolución Nº 50/13, </w:t>
      </w: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 xml:space="preserve">(b) se encuentren conformadas exclusivamente por </w:t>
      </w:r>
      <w:proofErr w:type="spellStart"/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>MIPyMEs</w:t>
      </w:r>
      <w:proofErr w:type="spellEnd"/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 xml:space="preserve">, </w:t>
      </w: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 xml:space="preserve">(c) sus miembros no se encuentren vinculados ni controlados por una empresa que no sea </w:t>
      </w:r>
      <w:proofErr w:type="spellStart"/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>MIPyME</w:t>
      </w:r>
      <w:proofErr w:type="spellEnd"/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 xml:space="preserve">, </w:t>
      </w: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>(d) no sean cooperativas de servicios, que se encuentran excluidas,</w:t>
      </w:r>
    </w:p>
    <w:p w:rsidR="00D31F5D" w:rsidRPr="009B4AFC" w:rsidRDefault="00D31F5D" w:rsidP="00D31F5D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8"/>
          <w:szCs w:val="18"/>
        </w:rPr>
        <w:t>(e) ni la cooperativa ni alguno de sus miembros se encuentren registrados o que ejerzan las actividades indicadas en el párrafo precedente.</w:t>
      </w:r>
    </w:p>
    <w:p w:rsidR="006B4ABB" w:rsidRPr="009B4AFC" w:rsidRDefault="006B4ABB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Bold" w:hAnsi="AkzidenzGroteskBE-Bold" w:cs="AkzidenzGroteskBE-Bold"/>
          <w:b/>
          <w:bCs/>
          <w:color w:val="C10419"/>
          <w:sz w:val="18"/>
          <w:szCs w:val="18"/>
          <w:lang w:val="es-AR"/>
        </w:rPr>
        <w:t xml:space="preserve">Monto del crédito: 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hasta $ 1.500.000. La bonificación de tasa se aplicará sobre la suma de hasta $ 800.000. El resto hasta completar el tope se aplicará la tasa de la Reglamentación BNA N° 400/23.</w:t>
      </w:r>
    </w:p>
    <w:p w:rsidR="006B4ABB" w:rsidRPr="009B4AFC" w:rsidRDefault="006B4ABB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Bold" w:hAnsi="AkzidenzGroteskBE-Bold" w:cs="AkzidenzGroteskBE-Bold"/>
          <w:b/>
          <w:bCs/>
          <w:color w:val="C10419"/>
          <w:sz w:val="18"/>
          <w:szCs w:val="18"/>
          <w:lang w:val="es-AR"/>
        </w:rPr>
        <w:t xml:space="preserve">Plazo: 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hasta 15 años. La bonificación de tasa no podrá exceder los 5 años. A partir del sexto año se aplicará la tasa de la Reglamentación BNA N° 400/23.</w:t>
      </w:r>
    </w:p>
    <w:p w:rsidR="006B4ABB" w:rsidRPr="009B4AFC" w:rsidRDefault="006B4ABB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Bold" w:hAnsi="AkzidenzGroteskBE-Bold" w:cs="AkzidenzGroteskBE-Bold"/>
          <w:b/>
          <w:bCs/>
          <w:color w:val="C10419"/>
          <w:sz w:val="18"/>
          <w:szCs w:val="18"/>
          <w:lang w:val="es-AR"/>
        </w:rPr>
        <w:t xml:space="preserve">Período de gracia: 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hasta seis meses, incluido en el plazo de la operación.</w:t>
      </w:r>
    </w:p>
    <w:p w:rsidR="007E7FF6" w:rsidRPr="009B4AFC" w:rsidRDefault="006B4ABB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El Banco de la Nación Argentina verifica la solvencia de la firma antes de otorgar el crédito.</w:t>
      </w:r>
    </w:p>
    <w:p w:rsidR="00DF765F" w:rsidRPr="009B4AFC" w:rsidRDefault="00DF765F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Tasa de interés: Las em</w:t>
      </w:r>
      <w:bookmarkStart w:id="0" w:name="_GoBack"/>
      <w:bookmarkEnd w:id="0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presas deberán contar con una 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u w:val="single"/>
          <w:lang w:val="es-AR"/>
        </w:rPr>
        <w:t>DECLARACIÓN DE ELEGIBILIDAD</w:t>
      </w:r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emitida por </w:t>
      </w:r>
      <w:proofErr w:type="spellStart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SEPyME</w:t>
      </w:r>
      <w:proofErr w:type="spellEnd"/>
      <w:r w:rsidRPr="009B4AFC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para acceder al beneficio de la Bonificación. </w:t>
      </w:r>
    </w:p>
    <w:p w:rsidR="009B4AFC" w:rsidRPr="009B4AFC" w:rsidRDefault="009B4AFC" w:rsidP="000715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8"/>
          <w:szCs w:val="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916"/>
        <w:gridCol w:w="2198"/>
        <w:gridCol w:w="1585"/>
        <w:gridCol w:w="1873"/>
      </w:tblGrid>
      <w:tr w:rsidR="005C2290" w:rsidTr="005C2290">
        <w:tc>
          <w:tcPr>
            <w:tcW w:w="2093" w:type="dxa"/>
            <w:vMerge w:val="restart"/>
            <w:shd w:val="clear" w:color="auto" w:fill="000099"/>
            <w:vAlign w:val="center"/>
          </w:tcPr>
          <w:p w:rsidR="005C2290" w:rsidRPr="005C2290" w:rsidRDefault="009B4AFC" w:rsidP="009B4A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>PLAZO DELA OPERACIÓN</w:t>
            </w:r>
          </w:p>
        </w:tc>
        <w:tc>
          <w:tcPr>
            <w:tcW w:w="895" w:type="dxa"/>
            <w:vMerge w:val="restart"/>
            <w:shd w:val="clear" w:color="auto" w:fill="000099"/>
            <w:vAlign w:val="center"/>
          </w:tcPr>
          <w:p w:rsidR="005C2290" w:rsidRPr="005C2290" w:rsidRDefault="005C2290" w:rsidP="009B4A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</w:pPr>
            <w:r w:rsidRPr="005C2290"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>T</w:t>
            </w:r>
            <w:r w:rsidR="009B4AFC"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 xml:space="preserve">ASA BRUTA </w:t>
            </w:r>
          </w:p>
        </w:tc>
        <w:tc>
          <w:tcPr>
            <w:tcW w:w="2198" w:type="dxa"/>
            <w:shd w:val="clear" w:color="auto" w:fill="000099"/>
          </w:tcPr>
          <w:p w:rsidR="005C2290" w:rsidRPr="005C2290" w:rsidRDefault="005C2290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</w:pPr>
            <w:r w:rsidRPr="005C2290"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>BONIFICACION DURANTE LOS 5 AÑOS DE PLAZO</w:t>
            </w:r>
          </w:p>
        </w:tc>
        <w:tc>
          <w:tcPr>
            <w:tcW w:w="1585" w:type="dxa"/>
            <w:vMerge w:val="restart"/>
            <w:shd w:val="clear" w:color="auto" w:fill="000099"/>
            <w:vAlign w:val="center"/>
          </w:tcPr>
          <w:p w:rsidR="005C2290" w:rsidRPr="005C2290" w:rsidRDefault="005C2290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</w:pPr>
            <w:r w:rsidRPr="005C2290"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>Garantía SGR – Fondo de Garantía</w:t>
            </w:r>
          </w:p>
        </w:tc>
        <w:tc>
          <w:tcPr>
            <w:tcW w:w="1873" w:type="dxa"/>
            <w:vMerge w:val="restart"/>
            <w:shd w:val="clear" w:color="auto" w:fill="000099"/>
            <w:vAlign w:val="center"/>
          </w:tcPr>
          <w:p w:rsidR="005C2290" w:rsidRPr="005C2290" w:rsidRDefault="005C2290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</w:pPr>
            <w:r w:rsidRPr="005C2290"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>TASA DE INTERES QUE PAGA LA MIPE</w:t>
            </w:r>
          </w:p>
        </w:tc>
      </w:tr>
      <w:tr w:rsidR="005C2290" w:rsidTr="005C2290">
        <w:tc>
          <w:tcPr>
            <w:tcW w:w="2093" w:type="dxa"/>
            <w:vMerge/>
          </w:tcPr>
          <w:p w:rsidR="005C2290" w:rsidRDefault="005C2290" w:rsidP="000715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95" w:type="dxa"/>
            <w:vMerge/>
          </w:tcPr>
          <w:p w:rsidR="005C2290" w:rsidRDefault="005C2290" w:rsidP="000715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198" w:type="dxa"/>
            <w:shd w:val="clear" w:color="auto" w:fill="000099"/>
          </w:tcPr>
          <w:p w:rsidR="005C2290" w:rsidRPr="005C2290" w:rsidRDefault="005C2290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b/>
                <w:color w:val="000000"/>
                <w:sz w:val="20"/>
                <w:szCs w:val="20"/>
                <w:lang w:val="es-AR"/>
              </w:rPr>
            </w:pPr>
            <w:r w:rsidRPr="005C2290">
              <w:rPr>
                <w:rFonts w:ascii="AkzidenzGroteskBE-Regular" w:hAnsi="AkzidenzGroteskBE-Regular" w:cs="AkzidenzGroteskBE-Regular"/>
                <w:b/>
                <w:color w:val="FFFFFF" w:themeColor="background1"/>
                <w:sz w:val="20"/>
                <w:szCs w:val="20"/>
                <w:lang w:val="es-AR"/>
              </w:rPr>
              <w:t>Micro o Pequeñas Empresas</w:t>
            </w:r>
          </w:p>
        </w:tc>
        <w:tc>
          <w:tcPr>
            <w:tcW w:w="1585" w:type="dxa"/>
            <w:vMerge/>
          </w:tcPr>
          <w:p w:rsidR="005C2290" w:rsidRDefault="005C2290" w:rsidP="000715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873" w:type="dxa"/>
            <w:vMerge/>
          </w:tcPr>
          <w:p w:rsidR="005C2290" w:rsidRDefault="005C2290" w:rsidP="000715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</w:p>
        </w:tc>
      </w:tr>
      <w:tr w:rsidR="00BE0486" w:rsidTr="005C2290">
        <w:tc>
          <w:tcPr>
            <w:tcW w:w="2093" w:type="dxa"/>
          </w:tcPr>
          <w:p w:rsidR="00BE0486" w:rsidRDefault="00BE0486" w:rsidP="000715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 xml:space="preserve">Hasta 3 años (Fija) </w:t>
            </w:r>
          </w:p>
        </w:tc>
        <w:tc>
          <w:tcPr>
            <w:tcW w:w="895" w:type="dxa"/>
            <w:vAlign w:val="center"/>
          </w:tcPr>
          <w:p w:rsidR="00BE0486" w:rsidRDefault="00BE0486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17,5%</w:t>
            </w:r>
          </w:p>
        </w:tc>
        <w:tc>
          <w:tcPr>
            <w:tcW w:w="2198" w:type="dxa"/>
            <w:vMerge w:val="restart"/>
            <w:vAlign w:val="center"/>
          </w:tcPr>
          <w:p w:rsidR="00BE0486" w:rsidRDefault="00BE0486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4%</w:t>
            </w:r>
          </w:p>
        </w:tc>
        <w:tc>
          <w:tcPr>
            <w:tcW w:w="1585" w:type="dxa"/>
            <w:vMerge w:val="restart"/>
            <w:vAlign w:val="center"/>
          </w:tcPr>
          <w:p w:rsidR="00BE0486" w:rsidRDefault="00BE0486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1,0%</w:t>
            </w:r>
          </w:p>
        </w:tc>
        <w:tc>
          <w:tcPr>
            <w:tcW w:w="1873" w:type="dxa"/>
            <w:vAlign w:val="center"/>
          </w:tcPr>
          <w:p w:rsidR="00BE0486" w:rsidRDefault="00BE0486" w:rsidP="009B4A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12,5%</w:t>
            </w:r>
          </w:p>
        </w:tc>
      </w:tr>
      <w:tr w:rsidR="00BE0486" w:rsidTr="005C2290">
        <w:tc>
          <w:tcPr>
            <w:tcW w:w="2093" w:type="dxa"/>
          </w:tcPr>
          <w:p w:rsidR="00BE0486" w:rsidRDefault="00BE0486" w:rsidP="000715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Año 4 y 5 (Variable)</w:t>
            </w:r>
          </w:p>
        </w:tc>
        <w:tc>
          <w:tcPr>
            <w:tcW w:w="895" w:type="dxa"/>
            <w:vAlign w:val="center"/>
          </w:tcPr>
          <w:p w:rsidR="00BE0486" w:rsidRDefault="00BE0486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28,56%</w:t>
            </w:r>
          </w:p>
        </w:tc>
        <w:tc>
          <w:tcPr>
            <w:tcW w:w="2198" w:type="dxa"/>
            <w:vMerge/>
            <w:vAlign w:val="center"/>
          </w:tcPr>
          <w:p w:rsidR="00BE0486" w:rsidRDefault="00BE0486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85" w:type="dxa"/>
            <w:vMerge/>
            <w:vAlign w:val="center"/>
          </w:tcPr>
          <w:p w:rsidR="00BE0486" w:rsidRDefault="00BE0486" w:rsidP="005C229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873" w:type="dxa"/>
            <w:vAlign w:val="center"/>
          </w:tcPr>
          <w:p w:rsidR="00BE0486" w:rsidRDefault="00BE0486" w:rsidP="009B4A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</w:pPr>
            <w:r>
              <w:rPr>
                <w:rFonts w:ascii="AkzidenzGroteskBE-Regular" w:hAnsi="AkzidenzGroteskBE-Regular" w:cs="AkzidenzGroteskBE-Regular"/>
                <w:color w:val="000000"/>
                <w:sz w:val="20"/>
                <w:szCs w:val="20"/>
                <w:lang w:val="es-AR"/>
              </w:rPr>
              <w:t>23,56%</w:t>
            </w:r>
          </w:p>
        </w:tc>
      </w:tr>
    </w:tbl>
    <w:p w:rsidR="005C2290" w:rsidRPr="009B4AFC" w:rsidRDefault="005C2290" w:rsidP="009B4AFC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000000"/>
          <w:sz w:val="16"/>
          <w:szCs w:val="16"/>
          <w:lang w:val="es-AR"/>
        </w:rPr>
      </w:pPr>
    </w:p>
    <w:p w:rsidR="00EC62D6" w:rsidRPr="009B4AFC" w:rsidRDefault="00EC62D6" w:rsidP="009B4AFC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  <w:bdr w:val="none" w:sz="0" w:space="0" w:color="auto" w:frame="1"/>
        </w:rPr>
        <w:t>(1) El Banco aplica para operaciones con plazo mayor a los 36 meses una tasa variable, compuesta por la tasa BADLAR TOTAL + 3 puntos porcentuales anuales. Al 8/04 la tasa BADLAR TOTAL es 25,5625%. La línea del Banco es a 15 años, y SEPYME aplica la bonificación solo los primeros 5 años, por lo que a partir del año 6, la tasa será BADLAR TOTAL + 3 PPA.</w:t>
      </w:r>
    </w:p>
    <w:p w:rsidR="00EC62D6" w:rsidRPr="009B4AFC" w:rsidRDefault="00EC62D6" w:rsidP="009B4AFC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</w:pP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 xml:space="preserve">Periodo de </w:t>
      </w:r>
      <w:r w:rsidR="009B4AFC"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>Gracia: Hasta</w:t>
      </w: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 xml:space="preserve"> SEIS (6) meses, incluidos en el plazo de la operación</w:t>
      </w: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br/>
        <w:t xml:space="preserve">Garantía a satisfacción del </w:t>
      </w:r>
      <w:r w:rsidR="009B4AFC"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>Banco: Garantías</w:t>
      </w: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 xml:space="preserve"> hipotecarias o avales de Sociedades de Garantías Reciprocas (S.G.R)</w:t>
      </w: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br/>
        <w:t xml:space="preserve">Se consideran Micro o Pequeñas empresas </w:t>
      </w:r>
      <w:r w:rsidR="009B4AFC"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>aquella cuya</w:t>
      </w:r>
      <w:r w:rsidRPr="009B4AFC">
        <w:rPr>
          <w:rFonts w:ascii="AkzidenzGroteskBE-Regular" w:hAnsi="AkzidenzGroteskBE-Regular" w:cs="Arial"/>
          <w:b w:val="0"/>
          <w:bCs w:val="0"/>
          <w:color w:val="000000"/>
          <w:sz w:val="16"/>
          <w:szCs w:val="16"/>
        </w:rPr>
        <w:t xml:space="preserve"> facturación promedio de los últimos tres años no supera los siguientes montos</w:t>
      </w:r>
    </w:p>
    <w:p w:rsidR="00144E1E" w:rsidRPr="009B4AFC" w:rsidRDefault="00144E1E" w:rsidP="00144E1E">
      <w:pPr>
        <w:spacing w:before="120" w:after="0" w:line="240" w:lineRule="auto"/>
        <w:jc w:val="both"/>
        <w:rPr>
          <w:rFonts w:ascii="AkzidenzGroteskBE-Regular" w:hAnsi="AkzidenzGroteskBE-Regular" w:cs="Times New Roman"/>
          <w:sz w:val="8"/>
          <w:szCs w:val="8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1842"/>
        <w:gridCol w:w="1701"/>
        <w:gridCol w:w="1985"/>
      </w:tblGrid>
      <w:tr w:rsidR="007E7FF6" w:rsidRPr="00653AEC" w:rsidTr="009B4AFC">
        <w:trPr>
          <w:trHeight w:val="35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Promedio de facturación últimos 3 años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Sector Industrial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Sector Comercio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Sector Servicios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Sector Construcción</w:t>
            </w:r>
          </w:p>
        </w:tc>
      </w:tr>
      <w:tr w:rsidR="007E7FF6" w:rsidRPr="00653AEC" w:rsidTr="009B4AFC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F6" w:rsidRPr="00653AEC" w:rsidRDefault="007E7FF6" w:rsidP="00653AEC">
            <w:pPr>
              <w:spacing w:after="0" w:line="240" w:lineRule="auto"/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$ 82.200.000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$ 111.900.000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$ 28.300.000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FF6" w:rsidRPr="00653AEC" w:rsidRDefault="007E7FF6" w:rsidP="009B4AFC">
            <w:pPr>
              <w:jc w:val="center"/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</w:pPr>
            <w:r w:rsidRPr="00653AEC">
              <w:rPr>
                <w:rFonts w:ascii="AkzidenzGroteskBE-Regular" w:hAnsi="AkzidenzGroteskBE-Regular" w:cs="Times New Roman"/>
                <w:bCs/>
                <w:color w:val="000000"/>
                <w:sz w:val="18"/>
                <w:szCs w:val="18"/>
              </w:rPr>
              <w:t>$ 37.700.00</w:t>
            </w:r>
          </w:p>
        </w:tc>
      </w:tr>
    </w:tbl>
    <w:p w:rsidR="00D31F5D" w:rsidRPr="00653AEC" w:rsidRDefault="007E7FF6" w:rsidP="007E7FF6">
      <w:pPr>
        <w:spacing w:before="120"/>
        <w:jc w:val="both"/>
        <w:rPr>
          <w:rFonts w:ascii="AkzidenzGroteskBE-Regular" w:hAnsi="AkzidenzGroteskBE-Regular" w:cs="Times New Roman"/>
          <w:sz w:val="18"/>
          <w:szCs w:val="18"/>
        </w:rPr>
      </w:pPr>
      <w:r w:rsidRPr="00653AEC">
        <w:rPr>
          <w:rFonts w:ascii="AkzidenzGroteskBE-Regular" w:hAnsi="AkzidenzGroteskBE-Regular" w:cs="Times New Roman"/>
          <w:sz w:val="18"/>
          <w:szCs w:val="18"/>
        </w:rPr>
        <w:t>Garantías: Hipotecarias o Avales de Sociedades de Garantías Reciproca. (S.G.R.)</w:t>
      </w:r>
    </w:p>
    <w:p w:rsidR="004919D8" w:rsidRPr="004919D8" w:rsidRDefault="00EA37D1" w:rsidP="004919D8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9624" wp14:editId="26B89AC0">
                <wp:simplePos x="0" y="0"/>
                <wp:positionH relativeFrom="column">
                  <wp:posOffset>-45720</wp:posOffset>
                </wp:positionH>
                <wp:positionV relativeFrom="paragraph">
                  <wp:posOffset>9525</wp:posOffset>
                </wp:positionV>
                <wp:extent cx="3105150" cy="1449705"/>
                <wp:effectExtent l="0" t="0" r="19050" b="171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D8" w:rsidRPr="003A6222" w:rsidRDefault="004919D8">
                            <w:r w:rsidRPr="003A6222">
                              <w:rPr>
                                <w:u w:val="single"/>
                              </w:rPr>
                              <w:t>Contacto</w:t>
                            </w:r>
                            <w:r w:rsidRPr="003A6222">
                              <w:t xml:space="preserve">: </w:t>
                            </w:r>
                          </w:p>
                          <w:p w:rsidR="004919D8" w:rsidRDefault="004919D8">
                            <w:r w:rsidRPr="004919D8">
                              <w:rPr>
                                <w:b/>
                              </w:rPr>
                              <w:t>MI GALPON</w:t>
                            </w:r>
                            <w:r>
                              <w:t xml:space="preserve">                                                                     Av. Paseo Colón 189 piso 5 of. 504 </w:t>
                            </w:r>
                            <w:r w:rsidR="00F0687F">
                              <w:t>(C1063ABC)</w:t>
                            </w:r>
                            <w:r>
                              <w:t xml:space="preserve">                            Tel: 011-4349-5334                                                               E-mail: </w:t>
                            </w:r>
                            <w:hyperlink r:id="rId6" w:history="1">
                              <w:r w:rsidRPr="004D412B">
                                <w:rPr>
                                  <w:rStyle w:val="Hipervnculo"/>
                                </w:rPr>
                                <w:t>rbt@industria.gob.ar</w:t>
                              </w:r>
                            </w:hyperlink>
                            <w:r>
                              <w:t xml:space="preserve">                                             Web: </w:t>
                            </w:r>
                            <w:hyperlink r:id="rId7" w:history="1">
                              <w:r w:rsidRPr="004D412B">
                                <w:rPr>
                                  <w:rStyle w:val="Hipervnculo"/>
                                </w:rPr>
                                <w:t>www.industria.gob.ar/programa-mi-galpon/</w:t>
                              </w:r>
                            </w:hyperlink>
                          </w:p>
                          <w:p w:rsidR="004919D8" w:rsidRDefault="004919D8"/>
                          <w:p w:rsidR="004919D8" w:rsidRDefault="004919D8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6pt;margin-top:.75pt;width:244.5pt;height:1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">
                <v:textbox>
                  <w:txbxContent>
                    <w:p w:rsidR="004919D8" w:rsidRPr="003A6222" w:rsidRDefault="004919D8">
                      <w:r w:rsidRPr="003A6222">
                        <w:rPr>
                          <w:u w:val="single"/>
                        </w:rPr>
                        <w:t>Contacto</w:t>
                      </w:r>
                      <w:r w:rsidRPr="003A6222">
                        <w:t xml:space="preserve">: </w:t>
                      </w:r>
                    </w:p>
                    <w:p w:rsidR="004919D8" w:rsidRDefault="004919D8">
                      <w:r w:rsidRPr="004919D8">
                        <w:rPr>
                          <w:b/>
                        </w:rPr>
                        <w:t>MI GALPON</w:t>
                      </w:r>
                      <w:r>
                        <w:t xml:space="preserve">                                                                     Av. Paseo Colón 189 piso 5 of. 504 </w:t>
                      </w:r>
                      <w:r w:rsidR="00F0687F">
                        <w:t>(C1063ABC)</w:t>
                      </w:r>
                      <w:r>
                        <w:t xml:space="preserve">                            Tel: 011-4349-5334                                                               E-mail: </w:t>
                      </w:r>
                      <w:hyperlink r:id="rId8" w:history="1">
                        <w:r w:rsidRPr="004D412B">
                          <w:rPr>
                            <w:rStyle w:val="Hipervnculo"/>
                          </w:rPr>
                          <w:t>rbt@industria.gob.ar</w:t>
                        </w:r>
                      </w:hyperlink>
                      <w:r>
                        <w:t xml:space="preserve">                                             Web: </w:t>
                      </w:r>
                      <w:hyperlink r:id="rId9" w:history="1">
                        <w:r w:rsidRPr="004D412B">
                          <w:rPr>
                            <w:rStyle w:val="Hipervnculo"/>
                          </w:rPr>
                          <w:t>www.industria.gob.ar/programa-mi-galpon/</w:t>
                        </w:r>
                      </w:hyperlink>
                    </w:p>
                    <w:p w:rsidR="004919D8" w:rsidRDefault="004919D8"/>
                    <w:p w:rsidR="004919D8" w:rsidRDefault="004919D8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19D8" w:rsidRPr="004919D8" w:rsidSect="00B2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43"/>
    <w:rsid w:val="000237FC"/>
    <w:rsid w:val="00063E0A"/>
    <w:rsid w:val="00071530"/>
    <w:rsid w:val="000938CA"/>
    <w:rsid w:val="000A596F"/>
    <w:rsid w:val="000B5B9F"/>
    <w:rsid w:val="00143C28"/>
    <w:rsid w:val="00144E1E"/>
    <w:rsid w:val="001C7D43"/>
    <w:rsid w:val="00224383"/>
    <w:rsid w:val="00253BC9"/>
    <w:rsid w:val="003A6222"/>
    <w:rsid w:val="003E36DF"/>
    <w:rsid w:val="00400ABA"/>
    <w:rsid w:val="00433A30"/>
    <w:rsid w:val="004919D8"/>
    <w:rsid w:val="005219BB"/>
    <w:rsid w:val="00561672"/>
    <w:rsid w:val="005A59E3"/>
    <w:rsid w:val="005C2290"/>
    <w:rsid w:val="00624E1C"/>
    <w:rsid w:val="0063122F"/>
    <w:rsid w:val="00653AEC"/>
    <w:rsid w:val="00687D38"/>
    <w:rsid w:val="006A3007"/>
    <w:rsid w:val="006B4ABB"/>
    <w:rsid w:val="007A3926"/>
    <w:rsid w:val="007E7FF6"/>
    <w:rsid w:val="00841CCF"/>
    <w:rsid w:val="008E4D25"/>
    <w:rsid w:val="009478BC"/>
    <w:rsid w:val="009B4AFC"/>
    <w:rsid w:val="00A645D4"/>
    <w:rsid w:val="00B24FCC"/>
    <w:rsid w:val="00BE0486"/>
    <w:rsid w:val="00C80479"/>
    <w:rsid w:val="00D31F5D"/>
    <w:rsid w:val="00D8252D"/>
    <w:rsid w:val="00DF765F"/>
    <w:rsid w:val="00E022E1"/>
    <w:rsid w:val="00EA37D1"/>
    <w:rsid w:val="00EC62D6"/>
    <w:rsid w:val="00F0687F"/>
    <w:rsid w:val="00F7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30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4">
    <w:name w:val="heading 4"/>
    <w:basedOn w:val="Normal"/>
    <w:link w:val="Ttulo4Car"/>
    <w:uiPriority w:val="9"/>
    <w:qFormat/>
    <w:rsid w:val="00491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unhideWhenUsed/>
    <w:rsid w:val="000B5B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customStyle="1" w:styleId="PiedepginaCar">
    <w:name w:val="Pie de página Car"/>
    <w:basedOn w:val="Fuentedeprrafopredeter"/>
    <w:link w:val="Piedepgina"/>
    <w:semiHidden/>
    <w:rsid w:val="000B5B9F"/>
    <w:rPr>
      <w:rFonts w:eastAsia="Times New Roman" w:cs="Times New Roman"/>
      <w:szCs w:val="24"/>
      <w:lang w:val="es-AR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3E0A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9D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919D8"/>
    <w:rPr>
      <w:rFonts w:eastAsia="Times New Roman" w:cs="Times New Roman"/>
      <w:b/>
      <w:bCs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4919D8"/>
  </w:style>
  <w:style w:type="character" w:styleId="Textoennegrita">
    <w:name w:val="Strong"/>
    <w:basedOn w:val="Fuentedeprrafopredeter"/>
    <w:uiPriority w:val="22"/>
    <w:qFormat/>
    <w:rsid w:val="004919D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919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5C229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30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4">
    <w:name w:val="heading 4"/>
    <w:basedOn w:val="Normal"/>
    <w:link w:val="Ttulo4Car"/>
    <w:uiPriority w:val="9"/>
    <w:qFormat/>
    <w:rsid w:val="00491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unhideWhenUsed/>
    <w:rsid w:val="000B5B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customStyle="1" w:styleId="PiedepginaCar">
    <w:name w:val="Pie de página Car"/>
    <w:basedOn w:val="Fuentedeprrafopredeter"/>
    <w:link w:val="Piedepgina"/>
    <w:semiHidden/>
    <w:rsid w:val="000B5B9F"/>
    <w:rPr>
      <w:rFonts w:eastAsia="Times New Roman" w:cs="Times New Roman"/>
      <w:szCs w:val="24"/>
      <w:lang w:val="es-AR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3E0A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9D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919D8"/>
    <w:rPr>
      <w:rFonts w:eastAsia="Times New Roman" w:cs="Times New Roman"/>
      <w:b/>
      <w:bCs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4919D8"/>
  </w:style>
  <w:style w:type="character" w:styleId="Textoennegrita">
    <w:name w:val="Strong"/>
    <w:basedOn w:val="Fuentedeprrafopredeter"/>
    <w:uiPriority w:val="22"/>
    <w:qFormat/>
    <w:rsid w:val="004919D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919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5C229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t@industria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ustria.gob.ar/programa-mi-galp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t@industria.gob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ustria.gob.ar/programa-mi-galp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9149-C643-4266-9E64-84B3FD95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cp:lastPrinted>2014-01-14T14:50:00Z</cp:lastPrinted>
  <dcterms:created xsi:type="dcterms:W3CDTF">2014-08-22T18:33:00Z</dcterms:created>
  <dcterms:modified xsi:type="dcterms:W3CDTF">2014-08-22T18:33:00Z</dcterms:modified>
</cp:coreProperties>
</file>