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4F" w:rsidRDefault="004B4D4F" w:rsidP="004B4D4F">
      <w:pPr>
        <w:autoSpaceDE w:val="0"/>
        <w:autoSpaceDN w:val="0"/>
        <w:adjustRightInd w:val="0"/>
        <w:spacing w:after="0" w:line="240" w:lineRule="auto"/>
        <w:rPr>
          <w:rFonts w:ascii="AkzidenzGroteskBE-Regular" w:hAnsi="AkzidenzGroteskBE-Regular" w:cs="AkzidenzGroteskBE-Regular"/>
          <w:color w:val="C10419"/>
          <w:sz w:val="24"/>
          <w:szCs w:val="24"/>
          <w:lang w:val="es-AR"/>
        </w:rPr>
      </w:pPr>
      <w:r>
        <w:rPr>
          <w:rFonts w:ascii="AkzidenzGroteskBE-Regular" w:hAnsi="AkzidenzGroteskBE-Regular" w:cs="AkzidenzGroteskBE-Regular"/>
          <w:color w:val="C10419"/>
          <w:sz w:val="24"/>
          <w:szCs w:val="24"/>
          <w:lang w:val="es-AR"/>
        </w:rPr>
        <w:t>Ministerio de Industria</w:t>
      </w:r>
    </w:p>
    <w:p w:rsidR="004B4D4F" w:rsidRPr="004B4D4F" w:rsidRDefault="004B4D4F" w:rsidP="004B4D4F">
      <w:pPr>
        <w:autoSpaceDE w:val="0"/>
        <w:autoSpaceDN w:val="0"/>
        <w:adjustRightInd w:val="0"/>
        <w:spacing w:after="0" w:line="240" w:lineRule="auto"/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</w:pPr>
      <w:r w:rsidRPr="004B4D4F"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>PACC</w:t>
      </w:r>
      <w:r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 xml:space="preserve"> - (Programa de Acceso al Crédito y la Competitividad) </w:t>
      </w:r>
      <w:proofErr w:type="spellStart"/>
      <w:r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>SEPyME</w:t>
      </w:r>
      <w:proofErr w:type="spellEnd"/>
    </w:p>
    <w:p w:rsidR="004B4D4F" w:rsidRDefault="004B4D4F" w:rsidP="004B4D4F">
      <w:pPr>
        <w:autoSpaceDE w:val="0"/>
        <w:autoSpaceDN w:val="0"/>
        <w:adjustRightInd w:val="0"/>
        <w:spacing w:after="0" w:line="240" w:lineRule="auto"/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</w:pPr>
    </w:p>
    <w:p w:rsidR="004B4D4F" w:rsidRDefault="004B4D4F" w:rsidP="004B4D4F">
      <w:pPr>
        <w:autoSpaceDE w:val="0"/>
        <w:autoSpaceDN w:val="0"/>
        <w:adjustRightInd w:val="0"/>
        <w:spacing w:after="0" w:line="240" w:lineRule="auto"/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</w:pPr>
      <w:r>
        <w:rPr>
          <w:rFonts w:ascii="AkzidenzGroteskBQ-Bold" w:hAnsi="AkzidenzGroteskBQ-Bold" w:cs="AkzidenzGroteskBQ-Bold"/>
          <w:b/>
          <w:bCs/>
          <w:color w:val="000000"/>
          <w:sz w:val="18"/>
          <w:szCs w:val="18"/>
          <w:lang w:val="es-AR"/>
        </w:rPr>
        <w:t>Objetivo</w:t>
      </w:r>
    </w:p>
    <w:p w:rsidR="004B4D4F" w:rsidRDefault="004B4D4F" w:rsidP="004B4D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rial"/>
          <w:color w:val="000000" w:themeColor="text1"/>
          <w:sz w:val="18"/>
          <w:szCs w:val="18"/>
          <w:bdr w:val="none" w:sz="0" w:space="0" w:color="auto" w:frame="1"/>
        </w:rPr>
      </w:pPr>
      <w:r w:rsidRPr="002C721A">
        <w:rPr>
          <w:rFonts w:ascii="AkzidenzGroteskBE-Regular" w:hAnsi="AkzidenzGroteskBE-Regular" w:cs="AkzidenzGroteskBE-Regular"/>
          <w:color w:val="000000" w:themeColor="text1"/>
          <w:sz w:val="18"/>
          <w:szCs w:val="18"/>
          <w:lang w:val="es-AR"/>
        </w:rPr>
        <w:t xml:space="preserve">Aumentar la competitividad de las </w:t>
      </w:r>
      <w:proofErr w:type="spellStart"/>
      <w:r w:rsidRPr="002C721A">
        <w:rPr>
          <w:rFonts w:ascii="AkzidenzGroteskBE-Regular" w:hAnsi="AkzidenzGroteskBE-Regular" w:cs="AkzidenzGroteskBE-Regular"/>
          <w:color w:val="000000" w:themeColor="text1"/>
          <w:sz w:val="18"/>
          <w:szCs w:val="18"/>
          <w:lang w:val="es-AR"/>
        </w:rPr>
        <w:t>PyMEs</w:t>
      </w:r>
      <w:proofErr w:type="spellEnd"/>
      <w:r w:rsidRPr="002C721A">
        <w:rPr>
          <w:rFonts w:ascii="AkzidenzGroteskBE-Regular" w:hAnsi="AkzidenzGroteskBE-Regular" w:cs="AkzidenzGroteskBE-Regular"/>
          <w:color w:val="000000" w:themeColor="text1"/>
          <w:sz w:val="18"/>
          <w:szCs w:val="18"/>
          <w:lang w:val="es-AR"/>
        </w:rPr>
        <w:t xml:space="preserve"> facilitándoles el acceso a los servicios profe</w:t>
      </w:r>
      <w:r w:rsidR="002C721A" w:rsidRPr="002C721A">
        <w:rPr>
          <w:rFonts w:ascii="AkzidenzGroteskBE-Regular" w:hAnsi="AkzidenzGroteskBE-Regular" w:cs="AkzidenzGroteskBE-Regular"/>
          <w:color w:val="000000" w:themeColor="text1"/>
          <w:sz w:val="18"/>
          <w:szCs w:val="18"/>
          <w:lang w:val="es-AR"/>
        </w:rPr>
        <w:t>sionales de asistencia técnica,</w:t>
      </w:r>
      <w:r w:rsidR="002C721A" w:rsidRPr="002C721A">
        <w:rPr>
          <w:rFonts w:ascii="AkzidenzGroteskBE-Regular" w:hAnsi="AkzidenzGroteskBE-Regular" w:cs="Arial"/>
          <w:color w:val="000000" w:themeColor="text1"/>
          <w:sz w:val="18"/>
          <w:szCs w:val="18"/>
          <w:bdr w:val="none" w:sz="0" w:space="0" w:color="auto" w:frame="1"/>
        </w:rPr>
        <w:t xml:space="preserve"> y al financiamiento de los gastos de capa</w:t>
      </w:r>
      <w:r w:rsidR="002C721A">
        <w:rPr>
          <w:rFonts w:ascii="AkzidenzGroteskBE-Regular" w:hAnsi="AkzidenzGroteskBE-Regular" w:cs="Arial"/>
          <w:color w:val="000000" w:themeColor="text1"/>
          <w:sz w:val="18"/>
          <w:szCs w:val="18"/>
          <w:bdr w:val="none" w:sz="0" w:space="0" w:color="auto" w:frame="1"/>
        </w:rPr>
        <w:t xml:space="preserve">citación e </w:t>
      </w:r>
      <w:r w:rsidR="00415FA1">
        <w:rPr>
          <w:rFonts w:ascii="AkzidenzGroteskBE-Regular" w:hAnsi="AkzidenzGroteskBE-Regular" w:cs="Arial"/>
          <w:color w:val="000000" w:themeColor="text1"/>
          <w:sz w:val="18"/>
          <w:szCs w:val="18"/>
          <w:bdr w:val="none" w:sz="0" w:space="0" w:color="auto" w:frame="1"/>
        </w:rPr>
        <w:t>inversiones asociadas</w:t>
      </w:r>
      <w:r w:rsidR="002C721A">
        <w:rPr>
          <w:rFonts w:ascii="AkzidenzGroteskBE-Regular" w:hAnsi="AkzidenzGroteskBE-Regular" w:cs="Arial"/>
          <w:color w:val="000000" w:themeColor="text1"/>
          <w:sz w:val="18"/>
          <w:szCs w:val="18"/>
          <w:bdr w:val="none" w:sz="0" w:space="0" w:color="auto" w:frame="1"/>
        </w:rPr>
        <w:t xml:space="preserve">, </w:t>
      </w:r>
      <w:r w:rsidR="002C721A" w:rsidRPr="002C721A">
        <w:rPr>
          <w:rFonts w:ascii="AkzidenzGroteskBE-Regular" w:hAnsi="AkzidenzGroteskBE-Regular" w:cs="AkzidenzGroteskBE-Regular"/>
          <w:color w:val="000000" w:themeColor="text1"/>
          <w:sz w:val="18"/>
          <w:szCs w:val="18"/>
          <w:lang w:val="es-AR"/>
        </w:rPr>
        <w:t xml:space="preserve"> cofinanciando la elaboración e implementación de Proyectos </w:t>
      </w:r>
      <w:r w:rsidR="002C721A">
        <w:rPr>
          <w:rFonts w:ascii="AkzidenzGroteskBE-Regular" w:hAnsi="AkzidenzGroteskBE-Regular" w:cs="AkzidenzGroteskBE-Regular"/>
          <w:color w:val="000000" w:themeColor="text1"/>
          <w:sz w:val="18"/>
          <w:szCs w:val="18"/>
          <w:lang w:val="es-AR"/>
        </w:rPr>
        <w:t>de Desarrollo Empresarial (PDE).</w:t>
      </w:r>
      <w:r w:rsidR="002C721A" w:rsidRPr="002C721A">
        <w:rPr>
          <w:rFonts w:ascii="AkzidenzGroteskBE-Regular" w:hAnsi="AkzidenzGroteskBE-Regular" w:cs="Arial"/>
          <w:color w:val="000000" w:themeColor="text1"/>
          <w:sz w:val="18"/>
          <w:szCs w:val="18"/>
        </w:rPr>
        <w:br/>
      </w:r>
      <w:r w:rsidR="002C721A" w:rsidRPr="002C721A">
        <w:rPr>
          <w:rFonts w:ascii="AkzidenzGroteskBE-Regular" w:hAnsi="AkzidenzGroteskBE-Regular" w:cs="Arial"/>
          <w:color w:val="000000" w:themeColor="text1"/>
          <w:sz w:val="18"/>
          <w:szCs w:val="18"/>
          <w:bdr w:val="none" w:sz="0" w:space="0" w:color="auto" w:frame="1"/>
        </w:rPr>
        <w:t>De esta manera estas inversiones (servicios profesionales, capacitación y bienes de capital) realizadas por las empresas para lograr mejoras en la competitividad, innovación de productos y procesos, ascenso en la escala tecnológica, etc. podrán ser reintegradas por el Programa a través de Aportes No Reembolsables (no debe</w:t>
      </w:r>
      <w:r w:rsidR="002C721A">
        <w:rPr>
          <w:rFonts w:ascii="AkzidenzGroteskBE-Regular" w:hAnsi="AkzidenzGroteskBE-Regular" w:cs="Arial"/>
          <w:color w:val="000000" w:themeColor="text1"/>
          <w:sz w:val="18"/>
          <w:szCs w:val="18"/>
          <w:bdr w:val="none" w:sz="0" w:space="0" w:color="auto" w:frame="1"/>
        </w:rPr>
        <w:t xml:space="preserve">n ser devueltos por la empresa). </w:t>
      </w:r>
    </w:p>
    <w:p w:rsidR="00672F71" w:rsidRDefault="004B4D4F" w:rsidP="004B4D4F">
      <w:pPr>
        <w:autoSpaceDE w:val="0"/>
        <w:autoSpaceDN w:val="0"/>
        <w:adjustRightInd w:val="0"/>
        <w:spacing w:before="120" w:after="0" w:line="240" w:lineRule="auto"/>
        <w:jc w:val="both"/>
      </w:pPr>
      <w:r>
        <w:rPr>
          <w:rFonts w:ascii="AkzidenzGroteskBE-Regular" w:hAnsi="AkzidenzGroteskBE-Regular" w:cs="AkzidenzGroteskBE-Regular"/>
          <w:color w:val="000000"/>
          <w:sz w:val="18"/>
          <w:szCs w:val="18"/>
          <w:lang w:val="es-AR"/>
        </w:rPr>
        <w:t>Los PDE deberán estar orientados a fortalecer la competitividad en áreas tales como exportación, sustitución de importaciones e integración de cadena de valor con clientes y proveedores potenciando la competitividad e incrementando su presencia en el mercado.</w:t>
      </w:r>
      <w:r w:rsidR="00415FA1" w:rsidRPr="00415FA1">
        <w:t xml:space="preserve"> </w:t>
      </w:r>
    </w:p>
    <w:p w:rsidR="00E4089F" w:rsidRPr="00E4089F" w:rsidRDefault="00E4089F" w:rsidP="004B4D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Q-Bold" w:hAnsi="AkzidenzGroteskBQ-Bold" w:cs="AkzidenzGroteskBQ-Bold"/>
          <w:b/>
          <w:bCs/>
          <w:color w:val="000000"/>
          <w:sz w:val="8"/>
          <w:szCs w:val="8"/>
          <w:lang w:val="es-AR"/>
        </w:rPr>
      </w:pPr>
    </w:p>
    <w:p w:rsidR="00E4089F" w:rsidRPr="00E4089F" w:rsidRDefault="00E4089F" w:rsidP="00E4089F">
      <w:pPr>
        <w:autoSpaceDE w:val="0"/>
        <w:autoSpaceDN w:val="0"/>
        <w:adjustRightInd w:val="0"/>
        <w:spacing w:after="0" w:line="240" w:lineRule="auto"/>
        <w:jc w:val="both"/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</w:pPr>
      <w:r w:rsidRPr="00E4089F"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  <w:t xml:space="preserve">Los gastos que serán reconocidos son: </w:t>
      </w:r>
    </w:p>
    <w:p w:rsidR="00E4089F" w:rsidRPr="00E4089F" w:rsidRDefault="00E4089F" w:rsidP="00E408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</w:pPr>
      <w:r w:rsidRPr="00E4089F"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  <w:t>Servicios profesionales,</w:t>
      </w:r>
    </w:p>
    <w:p w:rsidR="00E4089F" w:rsidRDefault="00E4089F" w:rsidP="00E408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</w:pPr>
      <w:r w:rsidRPr="00E4089F"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  <w:t>Capacitaciones</w:t>
      </w:r>
      <w:r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  <w:t xml:space="preserve">, </w:t>
      </w:r>
    </w:p>
    <w:p w:rsidR="00E4089F" w:rsidRDefault="00E4089F" w:rsidP="00E408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</w:pPr>
      <w:r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  <w:t xml:space="preserve">Bienes de Capital, </w:t>
      </w:r>
    </w:p>
    <w:p w:rsidR="00672F71" w:rsidRDefault="00E4089F" w:rsidP="00E4089F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</w:pPr>
      <w:r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  <w:t>Gastos Administrativos.</w:t>
      </w:r>
      <w:r w:rsidRPr="00E4089F">
        <w:rPr>
          <w:rFonts w:ascii="AkzidenzGroteskBQ-Bold" w:hAnsi="AkzidenzGroteskBQ-Bold" w:cs="AkzidenzGroteskBQ-Bold"/>
          <w:bCs/>
          <w:color w:val="000000"/>
          <w:sz w:val="18"/>
          <w:szCs w:val="18"/>
          <w:lang w:val="es-AR"/>
        </w:rPr>
        <w:t xml:space="preserve"> </w:t>
      </w:r>
    </w:p>
    <w:p w:rsidR="00E4089F" w:rsidRPr="00035939" w:rsidRDefault="00E4089F" w:rsidP="00E4089F">
      <w:pPr>
        <w:pStyle w:val="Prrafodelista"/>
        <w:autoSpaceDE w:val="0"/>
        <w:autoSpaceDN w:val="0"/>
        <w:adjustRightInd w:val="0"/>
        <w:spacing w:before="120" w:after="0" w:line="240" w:lineRule="auto"/>
        <w:jc w:val="both"/>
        <w:rPr>
          <w:rFonts w:ascii="AkzidenzGroteskBQ-Bold" w:hAnsi="AkzidenzGroteskBQ-Bold" w:cs="AkzidenzGroteskBQ-Bold"/>
          <w:bCs/>
          <w:sz w:val="18"/>
          <w:szCs w:val="18"/>
          <w:lang w:val="es-AR"/>
        </w:rPr>
      </w:pPr>
    </w:p>
    <w:p w:rsidR="00E4089F" w:rsidRPr="00035939" w:rsidRDefault="00E4089F" w:rsidP="00E4089F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-Bold" w:hAnsi="AkzidenzGroteskBQ-Bold" w:cs="Arial"/>
          <w:b w:val="0"/>
          <w:bCs w:val="0"/>
          <w:sz w:val="18"/>
          <w:szCs w:val="18"/>
          <w:bdr w:val="none" w:sz="0" w:space="0" w:color="auto" w:frame="1"/>
        </w:rPr>
      </w:pPr>
      <w:r w:rsidRPr="00035939">
        <w:rPr>
          <w:rFonts w:ascii="AkzidenzGroteskBQ-Bold" w:hAnsi="AkzidenzGroteskBQ-Bold" w:cs="Arial"/>
          <w:b w:val="0"/>
          <w:bCs w:val="0"/>
          <w:sz w:val="18"/>
          <w:szCs w:val="18"/>
          <w:bdr w:val="none" w:sz="0" w:space="0" w:color="auto" w:frame="1"/>
        </w:rPr>
        <w:t>El plazo máximo de ejecución de un PDE es de 9 meses. Un PDE podrá tener hasta 5 actividades, incluida la adquisición asociada. A su vez cada actividad podrá estar integrada por un máximo de 5 tareas.</w:t>
      </w:r>
    </w:p>
    <w:p w:rsidR="00E4089F" w:rsidRPr="00035939" w:rsidRDefault="00E4089F" w:rsidP="00E4089F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Q-Bold" w:hAnsi="AkzidenzGroteskBQ-Bold" w:cs="Arial"/>
          <w:b w:val="0"/>
          <w:bCs w:val="0"/>
          <w:sz w:val="8"/>
          <w:szCs w:val="8"/>
        </w:rPr>
      </w:pPr>
    </w:p>
    <w:p w:rsidR="00E4089F" w:rsidRPr="00035939" w:rsidRDefault="00E4089F" w:rsidP="00E4089F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="AkzidenzGroteskBQ-Bold" w:hAnsi="AkzidenzGroteskBQ-Bold" w:cs="Arial"/>
          <w:b w:val="0"/>
          <w:bCs w:val="0"/>
          <w:sz w:val="8"/>
          <w:szCs w:val="8"/>
          <w:bdr w:val="none" w:sz="0" w:space="0" w:color="auto" w:frame="1"/>
        </w:rPr>
      </w:pPr>
      <w:r w:rsidRPr="00035939">
        <w:rPr>
          <w:rStyle w:val="Textoennegrita"/>
          <w:rFonts w:ascii="AkzidenzGroteskBQ-Bold" w:hAnsi="AkzidenzGroteskBQ-Bold" w:cs="Arial"/>
          <w:b/>
          <w:bCs/>
          <w:sz w:val="18"/>
          <w:szCs w:val="18"/>
          <w:bdr w:val="none" w:sz="0" w:space="0" w:color="auto" w:frame="1"/>
        </w:rPr>
        <w:t>Monto y porcentaje máximo de Aporte No Reembolsable</w:t>
      </w:r>
      <w:r w:rsidRPr="00035939">
        <w:rPr>
          <w:rFonts w:ascii="AkzidenzGroteskBQ-Bold" w:hAnsi="AkzidenzGroteskBQ-Bold" w:cs="Arial"/>
          <w:b w:val="0"/>
          <w:bCs w:val="0"/>
          <w:sz w:val="18"/>
          <w:szCs w:val="18"/>
        </w:rPr>
        <w:br/>
      </w:r>
    </w:p>
    <w:p w:rsidR="00E4089F" w:rsidRPr="00035939" w:rsidRDefault="00E4089F" w:rsidP="00E4089F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="AkzidenzGroteskBQ-Bold" w:hAnsi="AkzidenzGroteskBQ-Bold" w:cs="Arial"/>
          <w:b w:val="0"/>
          <w:bCs w:val="0"/>
          <w:sz w:val="18"/>
          <w:szCs w:val="18"/>
          <w:bdr w:val="none" w:sz="0" w:space="0" w:color="auto" w:frame="1"/>
        </w:rPr>
      </w:pPr>
      <w:r w:rsidRPr="00035939">
        <w:rPr>
          <w:rFonts w:ascii="AkzidenzGroteskBQ-Bold" w:hAnsi="AkzidenzGroteskBQ-Bold" w:cs="Arial"/>
          <w:b w:val="0"/>
          <w:bCs w:val="0"/>
          <w:sz w:val="18"/>
          <w:szCs w:val="18"/>
          <w:bdr w:val="none" w:sz="0" w:space="0" w:color="auto" w:frame="1"/>
        </w:rPr>
        <w:t>El monto máximo de ANR total de un PDE no podrá ser superior a $ 200.000. El Programa reconocerá en concepto de asistencia técnica como máximo el 60% del monto total del PDE, neto de IVA, pudiendo incrementarse hasta un 80% en aquellas actividades del Proyecto que se encuentren relacionadas a mejoras del medioambiente.</w:t>
      </w:r>
    </w:p>
    <w:p w:rsidR="00E4089F" w:rsidRPr="00035939" w:rsidRDefault="00E4089F" w:rsidP="00E4089F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="AkzidenzGroteskBQ-Bold" w:hAnsi="AkzidenzGroteskBQ-Bold" w:cs="Arial"/>
          <w:b w:val="0"/>
          <w:bCs w:val="0"/>
          <w:sz w:val="18"/>
          <w:szCs w:val="18"/>
          <w:bdr w:val="none" w:sz="0" w:space="0" w:color="auto" w:frame="1"/>
        </w:rPr>
      </w:pPr>
      <w:r w:rsidRPr="00035939">
        <w:rPr>
          <w:rFonts w:ascii="AkzidenzGroteskBQ-Bold" w:hAnsi="AkzidenzGroteskBQ-Bold" w:cs="Arial"/>
          <w:b w:val="0"/>
          <w:bCs w:val="0"/>
          <w:sz w:val="18"/>
          <w:szCs w:val="18"/>
          <w:bdr w:val="none" w:sz="0" w:space="0" w:color="auto" w:frame="1"/>
        </w:rPr>
        <w:t>En aquellos casos en que el Proyecto contemple adquisiciones asociadas a las actividades de asistencia técnica, el Programa reconocerá como máximo hasta el 60% del valor total del bien, y este valor no podrá exceder el 30% del total de ANR en concepto de asistencia técnica.</w:t>
      </w:r>
    </w:p>
    <w:p w:rsidR="00E4089F" w:rsidRPr="00035939" w:rsidRDefault="00E4089F" w:rsidP="00E4089F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="AkzidenzGroteskBQ-Bold" w:hAnsi="AkzidenzGroteskBQ-Bold" w:cs="Arial"/>
          <w:b w:val="0"/>
          <w:bCs w:val="0"/>
          <w:sz w:val="18"/>
          <w:szCs w:val="18"/>
        </w:rPr>
      </w:pPr>
    </w:p>
    <w:p w:rsidR="00E4089F" w:rsidRPr="00035939" w:rsidRDefault="00E4089F" w:rsidP="00E4089F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="AkzidenzGroteskBQ-Bold" w:hAnsi="AkzidenzGroteskBQ-Bold" w:cs="Arial"/>
          <w:b w:val="0"/>
          <w:bCs w:val="0"/>
          <w:sz w:val="18"/>
          <w:szCs w:val="18"/>
        </w:rPr>
      </w:pPr>
      <w:r w:rsidRPr="00035939">
        <w:rPr>
          <w:rFonts w:ascii="AkzidenzGroteskBQ-Bold" w:hAnsi="AkzidenzGroteskBQ-Bold" w:cs="Arial"/>
          <w:b w:val="0"/>
          <w:bCs w:val="0"/>
          <w:sz w:val="18"/>
          <w:szCs w:val="18"/>
          <w:bdr w:val="none" w:sz="0" w:space="0" w:color="auto" w:frame="1"/>
        </w:rPr>
        <w:t>También el Programa reconocerá en concepto de Gastos de Legalizaciones y/o Certificaciones Jurídicas y Legales, inherentes a cada PDE, hasta el 100 % de los mismos, siempre que no se supere el monto de $ 2.500</w:t>
      </w:r>
    </w:p>
    <w:p w:rsidR="00E4089F" w:rsidRPr="00035939" w:rsidRDefault="00E4089F" w:rsidP="00E4089F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="AkzidenzGroteskBQ-Bold" w:hAnsi="AkzidenzGroteskBQ-Bold" w:cs="Arial"/>
          <w:b w:val="0"/>
          <w:bCs w:val="0"/>
          <w:sz w:val="18"/>
          <w:szCs w:val="18"/>
          <w:bdr w:val="none" w:sz="0" w:space="0" w:color="auto" w:frame="1"/>
        </w:rPr>
      </w:pPr>
    </w:p>
    <w:p w:rsidR="00E4089F" w:rsidRPr="00035939" w:rsidRDefault="00E4089F" w:rsidP="00E4089F">
      <w:pPr>
        <w:pStyle w:val="Ttulo4"/>
        <w:shd w:val="clear" w:color="auto" w:fill="FFFFFF"/>
        <w:spacing w:before="0" w:beforeAutospacing="0" w:after="0" w:afterAutospacing="0"/>
        <w:textAlignment w:val="baseline"/>
        <w:rPr>
          <w:rFonts w:ascii="AkzidenzGroteskBQ-Bold" w:hAnsi="AkzidenzGroteskBQ-Bold" w:cs="Arial"/>
          <w:b w:val="0"/>
          <w:bCs w:val="0"/>
          <w:sz w:val="18"/>
          <w:szCs w:val="18"/>
        </w:rPr>
      </w:pPr>
      <w:r w:rsidRPr="00035939">
        <w:rPr>
          <w:rFonts w:ascii="AkzidenzGroteskBQ-Bold" w:hAnsi="AkzidenzGroteskBQ-Bold" w:cs="Arial"/>
          <w:b w:val="0"/>
          <w:bCs w:val="0"/>
          <w:sz w:val="18"/>
          <w:szCs w:val="18"/>
          <w:bdr w:val="none" w:sz="0" w:space="0" w:color="auto" w:frame="1"/>
        </w:rPr>
        <w:t xml:space="preserve">El Programa no </w:t>
      </w:r>
      <w:proofErr w:type="spellStart"/>
      <w:r w:rsidRPr="00035939">
        <w:rPr>
          <w:rFonts w:ascii="AkzidenzGroteskBQ-Bold" w:hAnsi="AkzidenzGroteskBQ-Bold" w:cs="Arial"/>
          <w:b w:val="0"/>
          <w:bCs w:val="0"/>
          <w:sz w:val="18"/>
          <w:szCs w:val="18"/>
          <w:bdr w:val="none" w:sz="0" w:space="0" w:color="auto" w:frame="1"/>
        </w:rPr>
        <w:t>co</w:t>
      </w:r>
      <w:proofErr w:type="spellEnd"/>
      <w:r w:rsidRPr="00035939">
        <w:rPr>
          <w:rFonts w:ascii="AkzidenzGroteskBQ-Bold" w:hAnsi="AkzidenzGroteskBQ-Bold" w:cs="Arial"/>
          <w:b w:val="0"/>
          <w:bCs w:val="0"/>
          <w:sz w:val="18"/>
          <w:szCs w:val="18"/>
          <w:bdr w:val="none" w:sz="0" w:space="0" w:color="auto" w:frame="1"/>
        </w:rPr>
        <w:t xml:space="preserve"> financiará aquellos PDE cuyo ANR total sea inferior a $ 20.000</w:t>
      </w:r>
    </w:p>
    <w:p w:rsidR="004B4D4F" w:rsidRPr="00035939" w:rsidRDefault="004B4D4F" w:rsidP="004B4D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Q-Bold" w:hAnsi="AkzidenzGroteskBQ-Bold" w:cs="AkzidenzGroteskBQ-Bold"/>
          <w:b/>
          <w:bCs/>
          <w:sz w:val="18"/>
          <w:szCs w:val="18"/>
          <w:lang w:val="es-AR"/>
        </w:rPr>
      </w:pPr>
      <w:r w:rsidRPr="00035939">
        <w:rPr>
          <w:rFonts w:ascii="AkzidenzGroteskBQ-Bold" w:hAnsi="AkzidenzGroteskBQ-Bold" w:cs="AkzidenzGroteskBQ-Bold"/>
          <w:b/>
          <w:bCs/>
          <w:sz w:val="18"/>
          <w:szCs w:val="18"/>
          <w:lang w:val="es-AR"/>
        </w:rPr>
        <w:t>Actividades elegibles</w:t>
      </w:r>
    </w:p>
    <w:p w:rsidR="004B4D4F" w:rsidRPr="00035939" w:rsidRDefault="004B4D4F" w:rsidP="004B4D4F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sz w:val="18"/>
          <w:szCs w:val="18"/>
          <w:lang w:val="es-AR"/>
        </w:rPr>
      </w:pPr>
      <w:r w:rsidRPr="00035939">
        <w:rPr>
          <w:rFonts w:ascii="AkzidenzGroteskBE-Regular" w:hAnsi="AkzidenzGroteskBE-Regular" w:cs="AkzidenzGroteskBE-Regular"/>
          <w:sz w:val="18"/>
          <w:szCs w:val="18"/>
          <w:lang w:val="es-AR"/>
        </w:rPr>
        <w:t>Estudios de mercado interno y externo, investigación, diseño y desarrollo de nuevos productos y servicios, testeo y prototipos, ingeniería de infraestructura productiva, localización y diseño de planta, planes comerciales, certificación de normas de calidad, desarrollo e implementación de software.</w:t>
      </w:r>
    </w:p>
    <w:p w:rsidR="004B4D4F" w:rsidRPr="00035939" w:rsidRDefault="004B4D4F" w:rsidP="00937A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Q-Bold" w:hAnsi="AkzidenzGroteskBQ-Bold" w:cs="AkzidenzGroteskBQ-Bold"/>
          <w:b/>
          <w:bCs/>
          <w:sz w:val="18"/>
          <w:szCs w:val="18"/>
          <w:lang w:val="es-AR"/>
        </w:rPr>
      </w:pPr>
      <w:r w:rsidRPr="00035939">
        <w:rPr>
          <w:rFonts w:ascii="AkzidenzGroteskBQ-Bold" w:hAnsi="AkzidenzGroteskBQ-Bold" w:cs="AkzidenzGroteskBQ-Bold"/>
          <w:b/>
          <w:bCs/>
          <w:sz w:val="18"/>
          <w:szCs w:val="18"/>
          <w:lang w:val="es-AR"/>
        </w:rPr>
        <w:t>Empresas elegibles</w:t>
      </w:r>
    </w:p>
    <w:p w:rsidR="00672F71" w:rsidRPr="00035939" w:rsidRDefault="00672F71" w:rsidP="00672F71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</w:pPr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 xml:space="preserve">Las </w:t>
      </w:r>
      <w:proofErr w:type="spellStart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MiPyMES</w:t>
      </w:r>
      <w:proofErr w:type="spellEnd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 xml:space="preserve"> categorizadas de conformidad con lo establecido por la</w:t>
      </w:r>
      <w:r w:rsidRPr="00035939">
        <w:rPr>
          <w:rStyle w:val="apple-converted-space"/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 </w:t>
      </w:r>
      <w:hyperlink r:id="rId7" w:tgtFrame="_blank" w:history="1">
        <w:r w:rsidRPr="00035939">
          <w:rPr>
            <w:rStyle w:val="Hipervnculo"/>
            <w:rFonts w:ascii="AkzidenzGroteskBE-Regular" w:hAnsi="AkzidenzGroteskBE-Regular" w:cs="Arial"/>
            <w:b w:val="0"/>
            <w:bCs w:val="0"/>
            <w:color w:val="auto"/>
            <w:sz w:val="18"/>
            <w:szCs w:val="18"/>
            <w:bdr w:val="none" w:sz="0" w:space="0" w:color="auto" w:frame="1"/>
          </w:rPr>
          <w:t>Resolución Nº 24/2001</w:t>
        </w:r>
      </w:hyperlink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 xml:space="preserve"> de la Secretaría </w:t>
      </w:r>
      <w:proofErr w:type="spellStart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PyMEyDR</w:t>
      </w:r>
      <w:proofErr w:type="spellEnd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 xml:space="preserve"> (sus modificatorias y complementarias).</w:t>
      </w:r>
    </w:p>
    <w:p w:rsidR="00672F71" w:rsidRPr="00035939" w:rsidRDefault="00672F71" w:rsidP="00672F71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</w:pPr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 xml:space="preserve">Por su parte, podrán aplicar al llamado vigente aquellas </w:t>
      </w:r>
      <w:proofErr w:type="spellStart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MiPyMES</w:t>
      </w:r>
      <w:proofErr w:type="spellEnd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 xml:space="preserve"> cuyo código de actividad registrado en AFIP corresponda con los</w:t>
      </w:r>
      <w:r w:rsidRPr="00035939">
        <w:rPr>
          <w:rStyle w:val="apple-converted-space"/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 </w:t>
      </w:r>
      <w:hyperlink r:id="rId8" w:tgtFrame="_blank" w:history="1">
        <w:r w:rsidRPr="00035939">
          <w:rPr>
            <w:rStyle w:val="Hipervnculo"/>
            <w:rFonts w:ascii="AkzidenzGroteskBE-Regular" w:hAnsi="AkzidenzGroteskBE-Regular" w:cs="Arial"/>
            <w:b w:val="0"/>
            <w:bCs w:val="0"/>
            <w:color w:val="auto"/>
            <w:sz w:val="18"/>
            <w:szCs w:val="18"/>
            <w:bdr w:val="none" w:sz="0" w:space="0" w:color="auto" w:frame="1"/>
          </w:rPr>
          <w:t>códigos definidos</w:t>
        </w:r>
      </w:hyperlink>
      <w:r w:rsidRPr="00035939">
        <w:rPr>
          <w:rStyle w:val="apple-converted-space"/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 </w:t>
      </w:r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para la presente convocatoria a PDE.</w:t>
      </w:r>
    </w:p>
    <w:p w:rsidR="00672F71" w:rsidRPr="00035939" w:rsidRDefault="00672F71" w:rsidP="00672F71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</w:pPr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 xml:space="preserve">Las </w:t>
      </w:r>
      <w:proofErr w:type="spellStart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MiPyMES</w:t>
      </w:r>
      <w:proofErr w:type="spellEnd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, estarán habilitadas a presentar PDE, siempre que no registren deudas fiscales y/o previsionales exigibles por la AFIP.</w:t>
      </w:r>
      <w:r w:rsidRPr="00035939">
        <w:rPr>
          <w:rStyle w:val="apple-converted-space"/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 </w:t>
      </w:r>
    </w:p>
    <w:p w:rsidR="00672F71" w:rsidRPr="00035939" w:rsidRDefault="00672F71" w:rsidP="00672F71">
      <w:pPr>
        <w:pStyle w:val="Ttulo4"/>
        <w:shd w:val="clear" w:color="auto" w:fill="FFFFFF"/>
        <w:spacing w:before="0" w:beforeAutospacing="0" w:after="0" w:afterAutospacing="0"/>
        <w:jc w:val="both"/>
        <w:textAlignment w:val="baseline"/>
        <w:rPr>
          <w:rFonts w:ascii="AkzidenzGroteskBE-Regular" w:hAnsi="AkzidenzGroteskBE-Regular" w:cs="Arial"/>
          <w:b w:val="0"/>
          <w:bCs w:val="0"/>
          <w:sz w:val="18"/>
          <w:szCs w:val="18"/>
        </w:rPr>
      </w:pPr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No serán elegibles las empresas que posean una participación accionaria extranjera superior al 49 % y las que sean importadoras cuya facturación de bienes importados supere el 25% de la facturación total.</w:t>
      </w:r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</w:rPr>
        <w:br/>
      </w:r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 xml:space="preserve">Tampoco podrán presentarse aquellas </w:t>
      </w:r>
      <w:proofErr w:type="spellStart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MiP</w:t>
      </w:r>
      <w:bookmarkStart w:id="0" w:name="_GoBack"/>
      <w:bookmarkEnd w:id="0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yMES</w:t>
      </w:r>
      <w:proofErr w:type="spellEnd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 xml:space="preserve"> que, de acuerdo al Sistema de Seguimiento de Proyectos (SSP) del Programa, presenten PDE anteriores dados de baja por incumplimientos.</w:t>
      </w:r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</w:rPr>
        <w:br/>
      </w:r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 xml:space="preserve">Las </w:t>
      </w:r>
      <w:proofErr w:type="spellStart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MiPyMES</w:t>
      </w:r>
      <w:proofErr w:type="spellEnd"/>
      <w:r w:rsidRPr="00035939">
        <w:rPr>
          <w:rFonts w:ascii="AkzidenzGroteskBE-Regular" w:hAnsi="AkzidenzGroteskBE-Regular" w:cs="Arial"/>
          <w:b w:val="0"/>
          <w:bCs w:val="0"/>
          <w:sz w:val="18"/>
          <w:szCs w:val="18"/>
          <w:bdr w:val="none" w:sz="0" w:space="0" w:color="auto" w:frame="1"/>
        </w:rPr>
        <w:t>, al momento de presentación de un PDE deberán tener 2 años de actividad económica verificable.</w:t>
      </w:r>
    </w:p>
    <w:p w:rsidR="00E4089F" w:rsidRPr="00035939" w:rsidRDefault="00E4089F" w:rsidP="00937A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sz w:val="18"/>
          <w:szCs w:val="18"/>
          <w:lang w:val="es-AR"/>
        </w:rPr>
      </w:pPr>
    </w:p>
    <w:p w:rsidR="00D07AFE" w:rsidRDefault="00F439E4" w:rsidP="00937A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sz w:val="18"/>
          <w:szCs w:val="18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360420" cy="1444625"/>
                <wp:effectExtent l="13335" t="6350" r="7620" b="635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AFE" w:rsidRPr="00D9184F" w:rsidRDefault="00D07AFE">
                            <w:pPr>
                              <w:rPr>
                                <w:u w:val="single"/>
                              </w:rPr>
                            </w:pPr>
                            <w:r w:rsidRPr="00D9184F">
                              <w:rPr>
                                <w:u w:val="single"/>
                              </w:rPr>
                              <w:t xml:space="preserve">Contacto: </w:t>
                            </w:r>
                          </w:p>
                          <w:p w:rsidR="00D07AFE" w:rsidRDefault="00D07AFE">
                            <w:r w:rsidRPr="00D07AFE">
                              <w:rPr>
                                <w:b/>
                              </w:rPr>
                              <w:t xml:space="preserve">PACC </w:t>
                            </w:r>
                            <w:r w:rsidRPr="00D07AFE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                         Av. Paseo Colón 189 piso 1 oficina 100 (C1063ABC)    Tel: 011-4349-5305 / 5379 /5435 /5483 </w:t>
                            </w:r>
                            <w:r>
                              <w:tab/>
                              <w:t xml:space="preserve">                 E-mail: </w:t>
                            </w:r>
                            <w:hyperlink r:id="rId9" w:history="1">
                              <w:r w:rsidRPr="007A17A1">
                                <w:rPr>
                                  <w:rStyle w:val="Hipervnculo"/>
                                </w:rPr>
                                <w:t>infopacc@industria.gob.ar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tab/>
                              <w:t xml:space="preserve">                         Web: </w:t>
                            </w:r>
                            <w:hyperlink r:id="rId10" w:history="1">
                              <w:r w:rsidRPr="007A17A1">
                                <w:rPr>
                                  <w:rStyle w:val="Hipervnculo"/>
                                </w:rPr>
                                <w:t>http://www.industria.gob.ar/pacc-empresas/</w:t>
                              </w:r>
                            </w:hyperlink>
                          </w:p>
                          <w:p w:rsidR="00D07AFE" w:rsidRDefault="00D07AFE"/>
                          <w:p w:rsidR="00D07AFE" w:rsidRDefault="00D07AFE">
                            <w: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pt;width:264.6pt;height:1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">
                <v:textbox>
                  <w:txbxContent>
                    <w:p w:rsidR="00D07AFE" w:rsidRPr="00D9184F" w:rsidRDefault="00D07AFE">
                      <w:pPr>
                        <w:rPr>
                          <w:u w:val="single"/>
                        </w:rPr>
                      </w:pPr>
                      <w:r w:rsidRPr="00D9184F">
                        <w:rPr>
                          <w:u w:val="single"/>
                        </w:rPr>
                        <w:t xml:space="preserve">Contacto: </w:t>
                      </w:r>
                    </w:p>
                    <w:p w:rsidR="00D07AFE" w:rsidRDefault="00D07AFE">
                      <w:r w:rsidRPr="00D07AFE">
                        <w:rPr>
                          <w:b/>
                        </w:rPr>
                        <w:t xml:space="preserve">PACC </w:t>
                      </w:r>
                      <w:r w:rsidRPr="00D07AFE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                         Av. Paseo Colón 189 piso 1 oficina 100 (C1063ABC)    Tel: 011-4349-5305 / 5379 /5435 /5483 </w:t>
                      </w:r>
                      <w:r>
                        <w:tab/>
                        <w:t xml:space="preserve">                 E-mail: </w:t>
                      </w:r>
                      <w:hyperlink r:id="rId14" w:history="1">
                        <w:r w:rsidRPr="007A17A1">
                          <w:rPr>
                            <w:rStyle w:val="Hipervnculo"/>
                          </w:rPr>
                          <w:t>infopacc@industria.gob.ar</w:t>
                        </w:r>
                      </w:hyperlink>
                      <w:r>
                        <w:t xml:space="preserve"> </w:t>
                      </w:r>
                      <w:r>
                        <w:tab/>
                        <w:t xml:space="preserve">                         Web: </w:t>
                      </w:r>
                      <w:hyperlink r:id="rId15" w:history="1">
                        <w:r w:rsidRPr="007A17A1">
                          <w:rPr>
                            <w:rStyle w:val="Hipervnculo"/>
                          </w:rPr>
                          <w:t>http://www.industria.gob.ar/pacc-empresas/</w:t>
                        </w:r>
                      </w:hyperlink>
                    </w:p>
                    <w:p w:rsidR="00D07AFE" w:rsidRDefault="00D07AFE"/>
                    <w:p w:rsidR="00D07AFE" w:rsidRDefault="00D07AFE">
                      <w:r>
                        <w:t xml:space="preserve">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07AFE" w:rsidRDefault="00D07AFE" w:rsidP="00937A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sz w:val="18"/>
          <w:szCs w:val="18"/>
          <w:lang w:val="es-AR"/>
        </w:rPr>
      </w:pPr>
    </w:p>
    <w:p w:rsidR="00D07AFE" w:rsidRDefault="00D07AFE" w:rsidP="00937A45">
      <w:pPr>
        <w:autoSpaceDE w:val="0"/>
        <w:autoSpaceDN w:val="0"/>
        <w:adjustRightInd w:val="0"/>
        <w:spacing w:before="120" w:after="0" w:line="240" w:lineRule="auto"/>
        <w:jc w:val="both"/>
        <w:rPr>
          <w:rFonts w:ascii="AkzidenzGroteskBE-Regular" w:hAnsi="AkzidenzGroteskBE-Regular" w:cs="AkzidenzGroteskBE-Regular"/>
          <w:sz w:val="18"/>
          <w:szCs w:val="18"/>
          <w:lang w:val="es-AR"/>
        </w:rPr>
      </w:pPr>
    </w:p>
    <w:sectPr w:rsidR="00D07AFE" w:rsidSect="005602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GroteskBQ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GroteskB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92812"/>
    <w:multiLevelType w:val="hybridMultilevel"/>
    <w:tmpl w:val="9DF2ECB4"/>
    <w:lvl w:ilvl="0" w:tplc="B3C640EA">
      <w:numFmt w:val="bullet"/>
      <w:lvlText w:val=""/>
      <w:lvlJc w:val="left"/>
      <w:pPr>
        <w:ind w:left="720" w:hanging="360"/>
      </w:pPr>
      <w:rPr>
        <w:rFonts w:ascii="Symbol" w:eastAsiaTheme="minorHAnsi" w:hAnsi="Symbol" w:cs="AkzidenzGroteskBQ-Bold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47"/>
    <w:rsid w:val="00035939"/>
    <w:rsid w:val="00076894"/>
    <w:rsid w:val="000943BF"/>
    <w:rsid w:val="001966F4"/>
    <w:rsid w:val="001B6C1E"/>
    <w:rsid w:val="001C09AB"/>
    <w:rsid w:val="001C3357"/>
    <w:rsid w:val="002409BD"/>
    <w:rsid w:val="002418BF"/>
    <w:rsid w:val="00244A08"/>
    <w:rsid w:val="002503AA"/>
    <w:rsid w:val="002A71D9"/>
    <w:rsid w:val="002C721A"/>
    <w:rsid w:val="00303DB1"/>
    <w:rsid w:val="003309DA"/>
    <w:rsid w:val="00353636"/>
    <w:rsid w:val="00353990"/>
    <w:rsid w:val="00384990"/>
    <w:rsid w:val="00397904"/>
    <w:rsid w:val="003D02DC"/>
    <w:rsid w:val="00415FA1"/>
    <w:rsid w:val="0043696D"/>
    <w:rsid w:val="00462F47"/>
    <w:rsid w:val="00491D70"/>
    <w:rsid w:val="004A5856"/>
    <w:rsid w:val="004B4D4F"/>
    <w:rsid w:val="005047D8"/>
    <w:rsid w:val="0056021F"/>
    <w:rsid w:val="00582EE0"/>
    <w:rsid w:val="00631C59"/>
    <w:rsid w:val="00644122"/>
    <w:rsid w:val="00672F71"/>
    <w:rsid w:val="0067390B"/>
    <w:rsid w:val="00683E84"/>
    <w:rsid w:val="006C2812"/>
    <w:rsid w:val="006C7F49"/>
    <w:rsid w:val="00774A60"/>
    <w:rsid w:val="007A7139"/>
    <w:rsid w:val="007B0167"/>
    <w:rsid w:val="007E171D"/>
    <w:rsid w:val="0086293A"/>
    <w:rsid w:val="008A4AB2"/>
    <w:rsid w:val="008C68BD"/>
    <w:rsid w:val="00905186"/>
    <w:rsid w:val="00937A45"/>
    <w:rsid w:val="00A33733"/>
    <w:rsid w:val="00B10442"/>
    <w:rsid w:val="00B221F6"/>
    <w:rsid w:val="00B62ADD"/>
    <w:rsid w:val="00B62EB6"/>
    <w:rsid w:val="00B65DDF"/>
    <w:rsid w:val="00BD1EA8"/>
    <w:rsid w:val="00C268E8"/>
    <w:rsid w:val="00C64318"/>
    <w:rsid w:val="00C80479"/>
    <w:rsid w:val="00C91F4F"/>
    <w:rsid w:val="00CC0797"/>
    <w:rsid w:val="00CF64A5"/>
    <w:rsid w:val="00D07AFE"/>
    <w:rsid w:val="00D14477"/>
    <w:rsid w:val="00D6796D"/>
    <w:rsid w:val="00D917FF"/>
    <w:rsid w:val="00D9184F"/>
    <w:rsid w:val="00DA241F"/>
    <w:rsid w:val="00DB7AE2"/>
    <w:rsid w:val="00E0017A"/>
    <w:rsid w:val="00E4089F"/>
    <w:rsid w:val="00F439E4"/>
    <w:rsid w:val="00F43CA7"/>
    <w:rsid w:val="00F7426C"/>
    <w:rsid w:val="00F84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BF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paragraph" w:styleId="Ttulo3">
    <w:name w:val="heading 3"/>
    <w:basedOn w:val="Normal"/>
    <w:link w:val="Ttulo3Car"/>
    <w:uiPriority w:val="9"/>
    <w:qFormat/>
    <w:rsid w:val="00D07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paragraph" w:styleId="Ttulo4">
    <w:name w:val="heading 4"/>
    <w:basedOn w:val="Normal"/>
    <w:link w:val="Ttulo4Car"/>
    <w:uiPriority w:val="9"/>
    <w:qFormat/>
    <w:rsid w:val="00D07A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aliases w:val="Car Car Car Car"/>
    <w:basedOn w:val="Fuentedeprrafopredeter"/>
    <w:link w:val="Sangradetextonormal"/>
    <w:locked/>
    <w:rsid w:val="000943BF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"/>
    <w:basedOn w:val="Normal"/>
    <w:link w:val="SangradetextonormalCar"/>
    <w:unhideWhenUsed/>
    <w:rsid w:val="000943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s-AR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943BF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1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07AFE"/>
    <w:rPr>
      <w:rFonts w:eastAsia="Times New Roman" w:cs="Times New Roman"/>
      <w:b/>
      <w:bCs/>
      <w:sz w:val="27"/>
      <w:szCs w:val="27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D07AFE"/>
    <w:rPr>
      <w:rFonts w:eastAsia="Times New Roman" w:cs="Times New Roman"/>
      <w:b/>
      <w:bCs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D07AFE"/>
    <w:rPr>
      <w:b/>
      <w:bCs/>
    </w:rPr>
  </w:style>
  <w:style w:type="character" w:customStyle="1" w:styleId="apple-converted-space">
    <w:name w:val="apple-converted-space"/>
    <w:basedOn w:val="Fuentedeprrafopredeter"/>
    <w:rsid w:val="00D07AFE"/>
  </w:style>
  <w:style w:type="character" w:styleId="Hipervnculo">
    <w:name w:val="Hyperlink"/>
    <w:basedOn w:val="Fuentedeprrafopredeter"/>
    <w:uiPriority w:val="99"/>
    <w:unhideWhenUsed/>
    <w:rsid w:val="00D07A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2F7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408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before="12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3BF"/>
    <w:pPr>
      <w:spacing w:before="0" w:after="200" w:line="276" w:lineRule="auto"/>
      <w:ind w:firstLine="0"/>
    </w:pPr>
    <w:rPr>
      <w:rFonts w:asciiTheme="minorHAnsi" w:hAnsiTheme="minorHAnsi"/>
      <w:sz w:val="22"/>
    </w:rPr>
  </w:style>
  <w:style w:type="paragraph" w:styleId="Ttulo3">
    <w:name w:val="heading 3"/>
    <w:basedOn w:val="Normal"/>
    <w:link w:val="Ttulo3Car"/>
    <w:uiPriority w:val="9"/>
    <w:qFormat/>
    <w:rsid w:val="00D07A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AR" w:eastAsia="es-AR"/>
    </w:rPr>
  </w:style>
  <w:style w:type="paragraph" w:styleId="Ttulo4">
    <w:name w:val="heading 4"/>
    <w:basedOn w:val="Normal"/>
    <w:link w:val="Ttulo4Car"/>
    <w:uiPriority w:val="9"/>
    <w:qFormat/>
    <w:rsid w:val="00D07A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aliases w:val="Car Car Car Car"/>
    <w:basedOn w:val="Fuentedeprrafopredeter"/>
    <w:link w:val="Sangradetextonormal"/>
    <w:locked/>
    <w:rsid w:val="000943BF"/>
    <w:rPr>
      <w:rFonts w:eastAsia="Times New Roman" w:cs="Times New Roman"/>
      <w:szCs w:val="20"/>
      <w:lang w:val="es-AR"/>
    </w:rPr>
  </w:style>
  <w:style w:type="paragraph" w:styleId="Sangradetextonormal">
    <w:name w:val="Body Text Indent"/>
    <w:aliases w:val="Car Car Car"/>
    <w:basedOn w:val="Normal"/>
    <w:link w:val="SangradetextonormalCar"/>
    <w:unhideWhenUsed/>
    <w:rsid w:val="000943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es-AR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0943BF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6C1E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D07AFE"/>
    <w:rPr>
      <w:rFonts w:eastAsia="Times New Roman" w:cs="Times New Roman"/>
      <w:b/>
      <w:bCs/>
      <w:sz w:val="27"/>
      <w:szCs w:val="27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rsid w:val="00D07AFE"/>
    <w:rPr>
      <w:rFonts w:eastAsia="Times New Roman" w:cs="Times New Roman"/>
      <w:b/>
      <w:bCs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D07AFE"/>
    <w:rPr>
      <w:b/>
      <w:bCs/>
    </w:rPr>
  </w:style>
  <w:style w:type="character" w:customStyle="1" w:styleId="apple-converted-space">
    <w:name w:val="apple-converted-space"/>
    <w:basedOn w:val="Fuentedeprrafopredeter"/>
    <w:rsid w:val="00D07AFE"/>
  </w:style>
  <w:style w:type="character" w:styleId="Hipervnculo">
    <w:name w:val="Hyperlink"/>
    <w:basedOn w:val="Fuentedeprrafopredeter"/>
    <w:uiPriority w:val="99"/>
    <w:unhideWhenUsed/>
    <w:rsid w:val="00D07AF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2F71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40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ustria.gob.ar/wp-content/uploads/2012/08/C%C3%B3digos-definidos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g.gob.ar/infolegInternet/anexos/65000-69999/66187/texact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hyperlink" Target="http://www.industria.gob.ar/pacc-empresas/" TargetMode="External"/><Relationship Id="rId10" Type="http://schemas.openxmlformats.org/officeDocument/2006/relationships/hyperlink" Target="http://www.industria.gob.ar/pacc-empresa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pacc@industria.gob.ar" TargetMode="External"/><Relationship Id="rId14" Type="http://schemas.openxmlformats.org/officeDocument/2006/relationships/hyperlink" Target="mailto:infopacc@industria.gob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8E32-4118-4A48-82EC-68ACCC244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Elvio Baldinelli</dc:creator>
  <cp:lastModifiedBy>Mariela Sosa</cp:lastModifiedBy>
  <cp:revision>3</cp:revision>
  <cp:lastPrinted>2014-08-22T18:43:00Z</cp:lastPrinted>
  <dcterms:created xsi:type="dcterms:W3CDTF">2014-08-25T19:17:00Z</dcterms:created>
  <dcterms:modified xsi:type="dcterms:W3CDTF">2014-09-01T18:07:00Z</dcterms:modified>
</cp:coreProperties>
</file>