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0E" w:rsidRDefault="004E7F0E" w:rsidP="004E7F0E">
      <w:pPr>
        <w:autoSpaceDE w:val="0"/>
        <w:autoSpaceDN w:val="0"/>
        <w:adjustRightInd w:val="0"/>
        <w:ind w:firstLine="0"/>
        <w:jc w:val="both"/>
        <w:rPr>
          <w:rFonts w:ascii="AkzidenzGroteskBE-Regular" w:hAnsi="AkzidenzGroteskBE-Regular" w:cs="AkzidenzGroteskBE-Regular"/>
          <w:color w:val="C10419"/>
        </w:rPr>
      </w:pPr>
      <w:r w:rsidRPr="00A47231">
        <w:rPr>
          <w:rFonts w:ascii="AkzidenzGroteskBE-Regular" w:hAnsi="AkzidenzGroteskBE-Regular" w:cs="AkzidenzGroteskBE-Regular"/>
          <w:color w:val="C10419"/>
        </w:rPr>
        <w:t>Ministerio de</w:t>
      </w:r>
      <w:r>
        <w:rPr>
          <w:rFonts w:ascii="AkzidenzGroteskBE-Regular" w:hAnsi="AkzidenzGroteskBE-Regular" w:cs="AkzidenzGroteskBE-Regular"/>
          <w:color w:val="C10419"/>
        </w:rPr>
        <w:t xml:space="preserve"> Economía y Finanzas Públicas de la Nación. </w:t>
      </w:r>
    </w:p>
    <w:p w:rsidR="00C80479" w:rsidRPr="004E7F0E" w:rsidRDefault="00801465" w:rsidP="00AB6179">
      <w:pPr>
        <w:spacing w:before="0"/>
        <w:ind w:firstLine="0"/>
        <w:rPr>
          <w:rFonts w:ascii="AkzidenzGroteskBE-Regular" w:hAnsi="AkzidenzGroteskBE-Regular"/>
          <w:b/>
          <w:sz w:val="22"/>
        </w:rPr>
      </w:pPr>
      <w:r w:rsidRPr="004E7F0E">
        <w:rPr>
          <w:rFonts w:ascii="AkzidenzGroteskBE-Regular" w:hAnsi="AkzidenzGroteskBE-Regular"/>
          <w:b/>
          <w:sz w:val="22"/>
        </w:rPr>
        <w:t>Fondo para el Desarrollo Económico Argentino (FONDEAR)</w:t>
      </w:r>
    </w:p>
    <w:p w:rsidR="00801465" w:rsidRPr="004E7F0E" w:rsidRDefault="00801465" w:rsidP="00AB6179">
      <w:pPr>
        <w:spacing w:before="0"/>
        <w:ind w:firstLine="0"/>
        <w:rPr>
          <w:rFonts w:ascii="AkzidenzGroteskBE-Regular" w:hAnsi="AkzidenzGroteskBE-Regular"/>
          <w:sz w:val="22"/>
        </w:rPr>
      </w:pPr>
      <w:r w:rsidRPr="004E7F0E">
        <w:rPr>
          <w:rFonts w:ascii="AkzidenzGroteskBE-Regular" w:hAnsi="AkzidenzGroteskBE-Regular"/>
          <w:sz w:val="22"/>
        </w:rPr>
        <w:t>Decreto 606/2014</w:t>
      </w:r>
    </w:p>
    <w:p w:rsidR="00801465" w:rsidRPr="004E7F0E" w:rsidRDefault="00801465" w:rsidP="00AB6179">
      <w:pPr>
        <w:spacing w:before="0"/>
        <w:ind w:firstLine="0"/>
        <w:rPr>
          <w:rFonts w:ascii="AkzidenzGroteskBE-Regular" w:hAnsi="AkzidenzGroteskBE-Regular"/>
          <w:sz w:val="22"/>
        </w:rPr>
      </w:pPr>
      <w:r w:rsidRPr="004E7F0E">
        <w:rPr>
          <w:rFonts w:ascii="AkzidenzGroteskBE-Regular" w:hAnsi="AkzidenzGroteskBE-Regular"/>
          <w:sz w:val="22"/>
        </w:rPr>
        <w:t xml:space="preserve">Resolución Ministerio de Economía y Finanzas Públicas 353/14 </w:t>
      </w:r>
    </w:p>
    <w:p w:rsidR="00801465" w:rsidRPr="004E7F0E" w:rsidRDefault="00801465" w:rsidP="00AB6179">
      <w:pPr>
        <w:spacing w:before="0"/>
        <w:ind w:firstLine="0"/>
        <w:rPr>
          <w:rFonts w:ascii="AkzidenzGroteskBE-Regular" w:hAnsi="AkzidenzGroteskBE-Regular"/>
          <w:b/>
          <w:sz w:val="22"/>
        </w:rPr>
      </w:pPr>
      <w:r w:rsidRPr="004E7F0E">
        <w:rPr>
          <w:rFonts w:ascii="AkzidenzGroteskBE-Regular" w:hAnsi="AkzidenzGroteskBE-Regular"/>
          <w:b/>
          <w:sz w:val="22"/>
        </w:rPr>
        <w:t>CREDITOS</w:t>
      </w:r>
    </w:p>
    <w:p w:rsidR="002045AF" w:rsidRPr="004E7F0E" w:rsidRDefault="002045AF" w:rsidP="00AB6179">
      <w:pPr>
        <w:autoSpaceDE w:val="0"/>
        <w:autoSpaceDN w:val="0"/>
        <w:adjustRightInd w:val="0"/>
        <w:spacing w:before="0"/>
        <w:ind w:firstLine="0"/>
        <w:jc w:val="both"/>
        <w:rPr>
          <w:rFonts w:ascii="AkzidenzGroteskBE-Regular" w:hAnsi="AkzidenzGroteskBE-Regular" w:cs="Times New Roman"/>
          <w:sz w:val="22"/>
          <w:lang w:val="es-AR"/>
        </w:rPr>
      </w:pPr>
    </w:p>
    <w:p w:rsidR="002045AF" w:rsidRPr="004E7F0E" w:rsidRDefault="002045AF" w:rsidP="002045AF">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Préstamos</w:t>
      </w:r>
      <w:r w:rsidRPr="004E7F0E">
        <w:rPr>
          <w:rFonts w:ascii="AkzidenzGroteskBE-Regular" w:hAnsi="AkzidenzGroteskBE-Regular" w:cs="Times New Roman"/>
          <w:sz w:val="22"/>
          <w:lang w:val="es-AR"/>
        </w:rPr>
        <w:t>: FONDEAR otorgará créditos para proyectos de inversión, capital de trabajo, prefinanciación y pos financiación de exportaciones. Las condiciones financieras podrán diferir dependiendo del destino de los fondos y de las características de los destinatarios.</w:t>
      </w:r>
    </w:p>
    <w:p w:rsidR="002045AF" w:rsidRPr="004E7F0E" w:rsidRDefault="002045AF" w:rsidP="002045AF">
      <w:pPr>
        <w:autoSpaceDE w:val="0"/>
        <w:autoSpaceDN w:val="0"/>
        <w:adjustRightInd w:val="0"/>
        <w:spacing w:before="0"/>
        <w:ind w:firstLine="0"/>
        <w:jc w:val="both"/>
        <w:rPr>
          <w:rFonts w:ascii="AkzidenzGroteskBE-Regular" w:hAnsi="AkzidenzGroteskBE-Regular" w:cs="Times New Roman"/>
          <w:sz w:val="8"/>
          <w:szCs w:val="8"/>
          <w:lang w:val="es-AR"/>
        </w:rPr>
      </w:pPr>
    </w:p>
    <w:p w:rsidR="002045AF" w:rsidRPr="004E7F0E" w:rsidRDefault="002045AF" w:rsidP="002045AF">
      <w:pPr>
        <w:autoSpaceDE w:val="0"/>
        <w:autoSpaceDN w:val="0"/>
        <w:adjustRightInd w:val="0"/>
        <w:spacing w:before="0"/>
        <w:ind w:firstLine="0"/>
        <w:jc w:val="both"/>
        <w:rPr>
          <w:rFonts w:ascii="AkzidenzGroteskBE-Regular" w:hAnsi="AkzidenzGroteskBE-Regular" w:cs="Times New Roman"/>
          <w:b/>
          <w:sz w:val="22"/>
        </w:rPr>
      </w:pPr>
      <w:r w:rsidRPr="004E7F0E">
        <w:rPr>
          <w:rFonts w:ascii="AkzidenzGroteskBE-Regular" w:hAnsi="AkzidenzGroteskBE-Regular" w:cs="Times New Roman"/>
          <w:b/>
          <w:bCs/>
          <w:sz w:val="22"/>
          <w:lang w:val="es-AR"/>
        </w:rPr>
        <w:t>Bonificación de tasas de interés</w:t>
      </w:r>
      <w:r w:rsidRPr="004E7F0E">
        <w:rPr>
          <w:rFonts w:ascii="AkzidenzGroteskBE-Regular" w:hAnsi="AkzidenzGroteskBE-Regular" w:cs="Times New Roman"/>
          <w:sz w:val="22"/>
          <w:lang w:val="es-AR"/>
        </w:rPr>
        <w:t xml:space="preserve">: FONDEAR podrá bonificar puntos porcentuales de la tasa de interés de créditos otorgados por entidades financieras </w:t>
      </w:r>
      <w:r w:rsidRPr="004E7F0E">
        <w:rPr>
          <w:rFonts w:ascii="AkzidenzGroteskBE-Regular" w:hAnsi="AkzidenzGroteskBE-Regular" w:cs="Times New Roman"/>
          <w:b/>
          <w:bCs/>
          <w:sz w:val="22"/>
          <w:lang w:val="es-AR"/>
        </w:rPr>
        <w:t xml:space="preserve">para proyectos de inversión, capital de trabajo, prefinanciación y pos financiación de exportaciones. </w:t>
      </w:r>
      <w:r w:rsidRPr="004E7F0E">
        <w:rPr>
          <w:rFonts w:ascii="AkzidenzGroteskBE-Regular" w:hAnsi="AkzidenzGroteskBE-Regular" w:cs="Times New Roman"/>
          <w:sz w:val="22"/>
          <w:lang w:val="es-AR"/>
        </w:rPr>
        <w:t>El riesgo de crédito será asumido por dichas entidades las que estarán a cargo de la evaluación de riesgo crediticio. No obstante ello, para el otorgamiento del beneficio se deberá contar con la aprobación de la elegibilidad previa del proyecto por parte del COMITE EJECUTIVO.</w:t>
      </w:r>
    </w:p>
    <w:p w:rsidR="002045AF" w:rsidRPr="004E7F0E" w:rsidRDefault="002045AF" w:rsidP="002045AF">
      <w:pPr>
        <w:autoSpaceDE w:val="0"/>
        <w:autoSpaceDN w:val="0"/>
        <w:adjustRightInd w:val="0"/>
        <w:spacing w:before="0"/>
        <w:ind w:firstLine="0"/>
        <w:jc w:val="both"/>
        <w:rPr>
          <w:rFonts w:ascii="AkzidenzGroteskBE-Regular" w:hAnsi="AkzidenzGroteskBE-Regular" w:cs="Times New Roman"/>
          <w:sz w:val="8"/>
          <w:szCs w:val="8"/>
          <w:lang w:val="es-AR"/>
        </w:rPr>
      </w:pP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Proyectos en sectores estratégicos</w:t>
      </w:r>
      <w:r w:rsidRPr="004E7F0E">
        <w:rPr>
          <w:rFonts w:ascii="AkzidenzGroteskBE-Regular" w:hAnsi="AkzidenzGroteskBE-Regular" w:cs="Times New Roman"/>
          <w:sz w:val="22"/>
          <w:lang w:val="es-AR"/>
        </w:rPr>
        <w:t>: se priorizarán proyectos de inversión con potencial exportador, con capacidad de sustituir importaciones, de incorporar tecnología, de generar nuevos puestos de trabajo y de agregar valor a la cadena productiva.</w:t>
      </w:r>
    </w:p>
    <w:p w:rsidR="003515F0" w:rsidRPr="004E7F0E" w:rsidRDefault="003515F0" w:rsidP="00AB6179">
      <w:pPr>
        <w:autoSpaceDE w:val="0"/>
        <w:autoSpaceDN w:val="0"/>
        <w:adjustRightInd w:val="0"/>
        <w:spacing w:before="0"/>
        <w:ind w:firstLine="0"/>
        <w:jc w:val="both"/>
        <w:rPr>
          <w:rFonts w:ascii="AkzidenzGroteskBE-Regular" w:hAnsi="AkzidenzGroteskBE-Regular" w:cs="Times New Roman"/>
          <w:sz w:val="8"/>
          <w:szCs w:val="8"/>
          <w:lang w:val="es-AR"/>
        </w:rPr>
      </w:pP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Proyectos de apoyo a producciones innovadoras</w:t>
      </w:r>
      <w:r w:rsidRPr="004E7F0E">
        <w:rPr>
          <w:rFonts w:ascii="AkzidenzGroteskBE-Regular" w:hAnsi="AkzidenzGroteskBE-Regular" w:cs="Times New Roman"/>
          <w:sz w:val="22"/>
          <w:lang w:val="es-AR"/>
        </w:rPr>
        <w:t>: destinados a proyectos que posibiliten el impulso de actividades innovadoras con elevado contenido tecnológico, surgidas a partir de desarrollos, conocimientos y capacidades generados en el Sistema Nacional de Ciencia, Tecnología e Innovación estructurado por la Ley Nº 25.467.</w:t>
      </w:r>
    </w:p>
    <w:p w:rsidR="003515F0" w:rsidRPr="004E7F0E" w:rsidRDefault="003515F0" w:rsidP="00AB6179">
      <w:pPr>
        <w:autoSpaceDE w:val="0"/>
        <w:autoSpaceDN w:val="0"/>
        <w:adjustRightInd w:val="0"/>
        <w:spacing w:before="0"/>
        <w:ind w:firstLine="0"/>
        <w:jc w:val="both"/>
        <w:rPr>
          <w:rFonts w:ascii="AkzidenzGroteskBE-Regular" w:hAnsi="AkzidenzGroteskBE-Regular" w:cs="Times New Roman"/>
          <w:sz w:val="8"/>
          <w:szCs w:val="8"/>
          <w:lang w:val="es-AR"/>
        </w:rPr>
      </w:pP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Proyectos de economías regionales</w:t>
      </w:r>
      <w:r w:rsidRPr="004E7F0E">
        <w:rPr>
          <w:rFonts w:ascii="AkzidenzGroteskBE-Regular" w:hAnsi="AkzidenzGroteskBE-Regular" w:cs="Times New Roman"/>
          <w:sz w:val="22"/>
          <w:lang w:val="es-AR"/>
        </w:rPr>
        <w:t>: destinados a proyectos que generen valor agregado o contribuyan al fortalecimiento de cadenas de valor en economías regionales. Se priorizarán aquellos proyectos que:</w:t>
      </w: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pertenezcan a sectores o cadenas de producción identificadas como prioritarios dentro de las Economías Regionales;</w:t>
      </w: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cuenten con el apoyo de Gobiernos Provinciales o Municipales;</w:t>
      </w: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evidencien potencial exportador, capacidad de sustituir importaciones, de incorporar tecnología, de generar nuevos puestos de trabajo y de mejorar las condiciones de los existentes;</w:t>
      </w: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mejoren problemas de logística, de asimetría de información, de transparencia en la comercialización y de trazabilidad de productos, y</w:t>
      </w:r>
    </w:p>
    <w:p w:rsidR="00AB6179" w:rsidRPr="004E7F0E" w:rsidRDefault="00AB6179" w:rsidP="00AB6179">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contribuyan a aumentar la diversificación y diferenciación de productos y a potencia el desarrollo del mercado interno.</w:t>
      </w:r>
    </w:p>
    <w:p w:rsidR="003515F0" w:rsidRPr="004E7F0E" w:rsidRDefault="003515F0" w:rsidP="00AB6179">
      <w:pPr>
        <w:autoSpaceDE w:val="0"/>
        <w:autoSpaceDN w:val="0"/>
        <w:adjustRightInd w:val="0"/>
        <w:spacing w:before="0"/>
        <w:ind w:firstLine="0"/>
        <w:jc w:val="both"/>
        <w:rPr>
          <w:rFonts w:ascii="AkzidenzGroteskBE-Regular" w:hAnsi="AkzidenzGroteskBE-Regular" w:cs="Times New Roman"/>
          <w:sz w:val="8"/>
          <w:szCs w:val="8"/>
          <w:lang w:val="es-AR"/>
        </w:rPr>
      </w:pPr>
      <w:r w:rsidRPr="004E7F0E">
        <w:rPr>
          <w:rFonts w:ascii="AkzidenzGroteskBE-Regular" w:hAnsi="AkzidenzGroteskBE-Regular" w:cs="Times New Roman"/>
          <w:sz w:val="8"/>
          <w:szCs w:val="8"/>
          <w:lang w:val="es-AR"/>
        </w:rPr>
        <w:t xml:space="preserve"> </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 xml:space="preserve">No </w:t>
      </w:r>
      <w:r w:rsidRPr="004E7F0E">
        <w:rPr>
          <w:rFonts w:ascii="AkzidenzGroteskBE-Regular" w:hAnsi="AkzidenzGroteskBE-Regular" w:cs="Times New Roman"/>
          <w:sz w:val="22"/>
          <w:lang w:val="es-AR"/>
        </w:rPr>
        <w:t>podrán utilizarse los recursos del FONDEAR para financiar:</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a) La adquisición de automóviles de pasajeros, vehículos utilitarios y cualquier otro rodado que no esté destinado a la actividad propia de la empresa destinataria del crédito, es decir, la adquisición de vehículos automotores que no tengan un uso excluyente comercial, industrial y de servicios;</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b) Las construcciones o reparaciones de edificios o inmuebles de uso residencial;</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c) La compra de terrenos;</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d) La reestructuración de deudas, pago de dividendos o recuperación de capital invertido;</w:t>
      </w:r>
    </w:p>
    <w:p w:rsidR="00F21BF2"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 xml:space="preserve">e) El pago de deudas impositivas; y </w:t>
      </w:r>
    </w:p>
    <w:p w:rsidR="00AB6179" w:rsidRPr="004E7F0E" w:rsidRDefault="00F21BF2" w:rsidP="00F21BF2">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f) Gastos no relacionados en forma directa con los objetivos del proyecto debidamente acreditado.</w:t>
      </w:r>
    </w:p>
    <w:p w:rsidR="002045AF" w:rsidRPr="004E7F0E" w:rsidRDefault="002045AF" w:rsidP="00F21BF2">
      <w:pPr>
        <w:autoSpaceDE w:val="0"/>
        <w:autoSpaceDN w:val="0"/>
        <w:adjustRightInd w:val="0"/>
        <w:spacing w:before="0"/>
        <w:ind w:firstLine="0"/>
        <w:jc w:val="both"/>
        <w:rPr>
          <w:rFonts w:ascii="AkzidenzGroteskBE-Regular" w:hAnsi="AkzidenzGroteskBE-Regular" w:cs="Times New Roman"/>
          <w:sz w:val="8"/>
          <w:szCs w:val="8"/>
          <w:lang w:val="es-AR"/>
        </w:rPr>
      </w:pPr>
    </w:p>
    <w:p w:rsidR="002045AF" w:rsidRPr="004E7F0E" w:rsidRDefault="002045AF" w:rsidP="002045AF">
      <w:pPr>
        <w:autoSpaceDE w:val="0"/>
        <w:autoSpaceDN w:val="0"/>
        <w:adjustRightInd w:val="0"/>
        <w:spacing w:before="0"/>
        <w:ind w:firstLine="0"/>
        <w:jc w:val="both"/>
        <w:rPr>
          <w:rFonts w:ascii="AkzidenzGroteskBE-Regular" w:hAnsi="AkzidenzGroteskBE-Regular" w:cs="Times New Roman"/>
          <w:b/>
          <w:sz w:val="22"/>
        </w:rPr>
      </w:pPr>
      <w:r w:rsidRPr="004E7F0E">
        <w:rPr>
          <w:rFonts w:ascii="AkzidenzGroteskBE-Regular" w:hAnsi="AkzidenzGroteskBE-Regular" w:cs="Times New Roman"/>
          <w:b/>
          <w:bCs/>
          <w:sz w:val="22"/>
          <w:lang w:val="es-AR"/>
        </w:rPr>
        <w:t xml:space="preserve">Art. 8° — </w:t>
      </w:r>
      <w:r w:rsidRPr="004E7F0E">
        <w:rPr>
          <w:rFonts w:ascii="AkzidenzGroteskBE-Regular" w:hAnsi="AkzidenzGroteskBE-Regular" w:cs="Times New Roman"/>
          <w:sz w:val="22"/>
          <w:lang w:val="es-AR"/>
        </w:rPr>
        <w:t xml:space="preserve">Los montos máximos y </w:t>
      </w:r>
      <w:r w:rsidRPr="004E7F0E">
        <w:rPr>
          <w:rFonts w:ascii="AkzidenzGroteskBE-Regular" w:hAnsi="AkzidenzGroteskBE-Regular" w:cs="Times New Roman"/>
          <w:b/>
          <w:bCs/>
          <w:sz w:val="22"/>
          <w:lang w:val="es-AR"/>
        </w:rPr>
        <w:t xml:space="preserve">mínimos </w:t>
      </w:r>
      <w:r w:rsidRPr="004E7F0E">
        <w:rPr>
          <w:rFonts w:ascii="AkzidenzGroteskBE-Regular" w:hAnsi="AkzidenzGroteskBE-Regular" w:cs="Times New Roman"/>
          <w:sz w:val="22"/>
          <w:lang w:val="es-AR"/>
        </w:rPr>
        <w:t>de cada instrumento, así como las condiciones financieras, serán definidos por la AUTORIDAD DE APLICACION. Los beneficios serán otorgados y, en caso de corresponder, devueltos en Pesos. Los créditos de financiación de exportaciones podrán ser otorgados en Dólares Estadounidenses y su liquidación al destinatario local se efectuará en Pesos equivalentes al monto en Dólares Estadounidenses aprobado.</w:t>
      </w:r>
    </w:p>
    <w:p w:rsidR="00AB6179" w:rsidRPr="004E7F0E" w:rsidRDefault="00AB6179" w:rsidP="00790261">
      <w:pPr>
        <w:autoSpaceDE w:val="0"/>
        <w:autoSpaceDN w:val="0"/>
        <w:adjustRightInd w:val="0"/>
        <w:spacing w:before="0"/>
        <w:ind w:firstLine="0"/>
        <w:jc w:val="both"/>
        <w:rPr>
          <w:rFonts w:ascii="AkzidenzGroteskBE-Regular" w:hAnsi="AkzidenzGroteskBE-Regular" w:cs="Times New Roman"/>
          <w:b/>
          <w:sz w:val="22"/>
        </w:rPr>
      </w:pPr>
    </w:p>
    <w:p w:rsidR="0094779E" w:rsidRPr="004E7F0E" w:rsidRDefault="0094779E" w:rsidP="00790261">
      <w:pPr>
        <w:autoSpaceDE w:val="0"/>
        <w:autoSpaceDN w:val="0"/>
        <w:adjustRightInd w:val="0"/>
        <w:spacing w:before="0"/>
        <w:ind w:firstLine="0"/>
        <w:jc w:val="both"/>
        <w:rPr>
          <w:rFonts w:ascii="AkzidenzGroteskBE-Regular" w:hAnsi="AkzidenzGroteskBE-Regular" w:cs="Times New Roman"/>
          <w:b/>
          <w:sz w:val="22"/>
        </w:rPr>
      </w:pPr>
      <w:r w:rsidRPr="004E7F0E">
        <w:rPr>
          <w:rFonts w:ascii="AkzidenzGroteskBE-Regular" w:hAnsi="AkzidenzGroteskBE-Regular" w:cs="Times New Roman"/>
          <w:b/>
          <w:bCs/>
          <w:sz w:val="22"/>
          <w:lang w:val="es-AR"/>
        </w:rPr>
        <w:lastRenderedPageBreak/>
        <w:t xml:space="preserve">Art. 11. — </w:t>
      </w:r>
      <w:proofErr w:type="spellStart"/>
      <w:r w:rsidRPr="004E7F0E">
        <w:rPr>
          <w:rFonts w:ascii="AkzidenzGroteskBE-Regular" w:hAnsi="AkzidenzGroteskBE-Regular" w:cs="Times New Roman"/>
          <w:sz w:val="22"/>
          <w:lang w:val="es-AR"/>
        </w:rPr>
        <w:t>Desígnase</w:t>
      </w:r>
      <w:proofErr w:type="spellEnd"/>
      <w:r w:rsidRPr="004E7F0E">
        <w:rPr>
          <w:rFonts w:ascii="AkzidenzGroteskBE-Regular" w:hAnsi="AkzidenzGroteskBE-Regular" w:cs="Times New Roman"/>
          <w:sz w:val="22"/>
          <w:lang w:val="es-AR"/>
        </w:rPr>
        <w:t xml:space="preserve"> al MINISTERIO DE ECONOMIA Y FINANZAS  </w:t>
      </w:r>
      <w:proofErr w:type="gramStart"/>
      <w:r w:rsidRPr="004E7F0E">
        <w:rPr>
          <w:rFonts w:ascii="AkzidenzGroteskBE-Regular" w:hAnsi="AkzidenzGroteskBE-Regular" w:cs="Times New Roman"/>
          <w:sz w:val="22"/>
          <w:lang w:val="es-AR"/>
        </w:rPr>
        <w:t>PUBLICAS</w:t>
      </w:r>
      <w:proofErr w:type="gramEnd"/>
      <w:r w:rsidRPr="004E7F0E">
        <w:rPr>
          <w:rFonts w:ascii="AkzidenzGroteskBE-Regular" w:hAnsi="AkzidenzGroteskBE-Regular" w:cs="Times New Roman"/>
          <w:sz w:val="22"/>
          <w:lang w:val="es-AR"/>
        </w:rPr>
        <w:t xml:space="preserve"> como AUTORIDAD DE APLICACION del presente decreto, pudiendo dictar las normas reglamentarias, aclaratorias, modificatorias, complementarias y sanciones que resulten pertinentes.</w:t>
      </w:r>
    </w:p>
    <w:p w:rsidR="002B7F46" w:rsidRPr="004E7F0E" w:rsidRDefault="002B7F46" w:rsidP="003515F0">
      <w:pPr>
        <w:autoSpaceDE w:val="0"/>
        <w:autoSpaceDN w:val="0"/>
        <w:adjustRightInd w:val="0"/>
        <w:spacing w:before="0"/>
        <w:ind w:firstLine="0"/>
        <w:jc w:val="both"/>
        <w:rPr>
          <w:rFonts w:ascii="AkzidenzGroteskBE-Regular" w:hAnsi="AkzidenzGroteskBE-Regular" w:cs="Times New Roman"/>
          <w:b/>
          <w:bCs/>
          <w:sz w:val="8"/>
          <w:szCs w:val="8"/>
          <w:lang w:val="es-AR"/>
        </w:rPr>
      </w:pPr>
    </w:p>
    <w:p w:rsidR="003515F0" w:rsidRPr="004E7F0E" w:rsidRDefault="003515F0" w:rsidP="003515F0">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 xml:space="preserve">Artículo 1° — </w:t>
      </w:r>
      <w:proofErr w:type="spellStart"/>
      <w:r w:rsidRPr="004E7F0E">
        <w:rPr>
          <w:rFonts w:ascii="AkzidenzGroteskBE-Regular" w:hAnsi="AkzidenzGroteskBE-Regular" w:cs="Times New Roman"/>
          <w:sz w:val="22"/>
          <w:lang w:val="es-AR"/>
        </w:rPr>
        <w:t>Establécense</w:t>
      </w:r>
      <w:proofErr w:type="spellEnd"/>
      <w:r w:rsidRPr="004E7F0E">
        <w:rPr>
          <w:rFonts w:ascii="AkzidenzGroteskBE-Regular" w:hAnsi="AkzidenzGroteskBE-Regular" w:cs="Times New Roman"/>
          <w:sz w:val="22"/>
          <w:lang w:val="es-AR"/>
        </w:rPr>
        <w:t xml:space="preserve"> los requisitos que deberán cumplir los solicitantes de los beneficios previstos por el FONDO PARA EL DESARROLLO ECONOMICO ARGENTINO (FONDEAR):</w:t>
      </w:r>
    </w:p>
    <w:p w:rsidR="003515F0" w:rsidRPr="004E7F0E" w:rsidRDefault="003515F0" w:rsidP="003515F0">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a) Ser persona física o jurídica constituida en la REPUBLICA ARGENTINA o que se halle habilitada para actuar dentro de su territorio de acuerdo a su régimen jurídico, o fideicomisos cuyos fiduciantes sean jurisdicciones y/o entidades de la Administración Nacional o de los Gobiernos Provinciales.</w:t>
      </w:r>
    </w:p>
    <w:p w:rsidR="003515F0" w:rsidRPr="004E7F0E" w:rsidRDefault="003515F0" w:rsidP="003515F0">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b) Estar inscriptos en la ADMINISTRACION FEDERAL DE INGRESOS PUBLICOS, entidad autárquica actuante en el ámbito del MINISTERIO DE ECONOMIA Y FINANZAS PUBLICAS.</w:t>
      </w:r>
    </w:p>
    <w:p w:rsidR="003515F0" w:rsidRPr="004E7F0E" w:rsidRDefault="003515F0" w:rsidP="003515F0">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c) Cumplir con la normativa exigida para el desarrollo de su actividad, las normas de higiene y seguridad industrial de la SUPERINTENDENCIA DE RIESGOS DEL TRABAJO, organismo descentralizado actuante en el ámbito de la SECRETARIA DE SEGURIDAD SOCIAL del MINISTERIO DE TRABAJO, EMPLEO Y SEGURIDAD SOCIAL, y la normativa ambiental nacional, provincial o municipal vigente.</w:t>
      </w:r>
    </w:p>
    <w:p w:rsidR="003515F0" w:rsidRPr="004E7F0E" w:rsidRDefault="003515F0" w:rsidP="003515F0">
      <w:pPr>
        <w:autoSpaceDE w:val="0"/>
        <w:autoSpaceDN w:val="0"/>
        <w:adjustRightInd w:val="0"/>
        <w:spacing w:before="0"/>
        <w:ind w:firstLine="0"/>
        <w:jc w:val="both"/>
        <w:rPr>
          <w:rFonts w:ascii="AkzidenzGroteskBE-Regular" w:hAnsi="AkzidenzGroteskBE-Regular" w:cs="Times New Roman"/>
          <w:b/>
          <w:sz w:val="22"/>
        </w:rPr>
      </w:pPr>
      <w:r w:rsidRPr="004E7F0E">
        <w:rPr>
          <w:rFonts w:ascii="AkzidenzGroteskBE-Regular" w:hAnsi="AkzidenzGroteskBE-Regular" w:cs="Times New Roman"/>
          <w:sz w:val="22"/>
          <w:lang w:val="es-AR"/>
        </w:rPr>
        <w:t>d) Podrán presentarse los consorcios de cooperación establecidos de acuerdo a la Ley Nº 26.005 y las Agrupaciones de Colaboración según el Artículo 367 y siguientes de la Ley Nº 19.550 de Sociedades Comerciales (</w:t>
      </w:r>
      <w:proofErr w:type="spellStart"/>
      <w:r w:rsidRPr="004E7F0E">
        <w:rPr>
          <w:rFonts w:ascii="AkzidenzGroteskBE-Regular" w:hAnsi="AkzidenzGroteskBE-Regular" w:cs="Times New Roman"/>
          <w:sz w:val="22"/>
          <w:lang w:val="es-AR"/>
        </w:rPr>
        <w:t>t.o</w:t>
      </w:r>
      <w:proofErr w:type="spellEnd"/>
      <w:r w:rsidRPr="004E7F0E">
        <w:rPr>
          <w:rFonts w:ascii="AkzidenzGroteskBE-Regular" w:hAnsi="AkzidenzGroteskBE-Regular" w:cs="Times New Roman"/>
          <w:sz w:val="22"/>
          <w:lang w:val="es-AR"/>
        </w:rPr>
        <w:t>. 1984) y sus modificaciones. Quedan excluidas las Uniones Transitorias de Empresas.</w:t>
      </w:r>
    </w:p>
    <w:p w:rsidR="00AB6179" w:rsidRPr="004E7F0E" w:rsidRDefault="00AB6179" w:rsidP="00F21BF2">
      <w:pPr>
        <w:autoSpaceDE w:val="0"/>
        <w:autoSpaceDN w:val="0"/>
        <w:adjustRightInd w:val="0"/>
        <w:spacing w:before="0"/>
        <w:ind w:firstLine="0"/>
        <w:jc w:val="both"/>
        <w:rPr>
          <w:rFonts w:ascii="AkzidenzGroteskBE-Regular" w:hAnsi="AkzidenzGroteskBE-Regular" w:cs="Times New Roman"/>
          <w:b/>
          <w:sz w:val="8"/>
          <w:szCs w:val="8"/>
        </w:rPr>
      </w:pPr>
    </w:p>
    <w:p w:rsidR="00AB6179" w:rsidRPr="004E7F0E" w:rsidRDefault="00BC4D35" w:rsidP="00BC4D35">
      <w:pPr>
        <w:autoSpaceDE w:val="0"/>
        <w:autoSpaceDN w:val="0"/>
        <w:adjustRightInd w:val="0"/>
        <w:spacing w:before="0"/>
        <w:ind w:firstLine="0"/>
        <w:jc w:val="both"/>
        <w:rPr>
          <w:rFonts w:ascii="AkzidenzGroteskBE-Regular" w:hAnsi="AkzidenzGroteskBE-Regular" w:cs="Times New Roman"/>
          <w:b/>
          <w:sz w:val="22"/>
        </w:rPr>
      </w:pPr>
      <w:r w:rsidRPr="004E7F0E">
        <w:rPr>
          <w:rFonts w:ascii="AkzidenzGroteskBE-Regular" w:hAnsi="AkzidenzGroteskBE-Regular" w:cs="Times New Roman"/>
          <w:b/>
          <w:bCs/>
          <w:sz w:val="22"/>
          <w:lang w:val="es-AR"/>
        </w:rPr>
        <w:t xml:space="preserve">Art. 3° — </w:t>
      </w:r>
      <w:r w:rsidRPr="004E7F0E">
        <w:rPr>
          <w:rFonts w:ascii="AkzidenzGroteskBE-Regular" w:hAnsi="AkzidenzGroteskBE-Regular" w:cs="Times New Roman"/>
          <w:sz w:val="22"/>
          <w:lang w:val="es-AR"/>
        </w:rPr>
        <w:t>A los fines de acceder a los instrumentos de financiamiento del FONDO PARA EL DESARROLLO ECONOMICO ARGENTINO (FONDEAR) los interesados deberán presentar sus solicitudes en la mesa de entradas del MINISTERIO DE ECONOMIA Y FINANZAS PUBLICAS.</w:t>
      </w:r>
    </w:p>
    <w:p w:rsidR="00AB6179" w:rsidRPr="004E7F0E" w:rsidRDefault="00AB6179" w:rsidP="00AB6179">
      <w:pPr>
        <w:autoSpaceDE w:val="0"/>
        <w:autoSpaceDN w:val="0"/>
        <w:adjustRightInd w:val="0"/>
        <w:spacing w:before="0"/>
        <w:ind w:firstLine="0"/>
        <w:jc w:val="both"/>
        <w:rPr>
          <w:rFonts w:ascii="AkzidenzGroteskBE-Regular" w:hAnsi="AkzidenzGroteskBE-Regular"/>
          <w:b/>
          <w:sz w:val="8"/>
          <w:szCs w:val="8"/>
        </w:rPr>
      </w:pPr>
    </w:p>
    <w:p w:rsidR="00C176CB" w:rsidRPr="004E7F0E" w:rsidRDefault="00C176CB" w:rsidP="00C176CB">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b/>
          <w:bCs/>
          <w:sz w:val="22"/>
          <w:lang w:val="es-AR"/>
        </w:rPr>
        <w:t xml:space="preserve">Art. 15. — </w:t>
      </w:r>
      <w:r w:rsidRPr="004E7F0E">
        <w:rPr>
          <w:rFonts w:ascii="AkzidenzGroteskBE-Regular" w:hAnsi="AkzidenzGroteskBE-Regular" w:cs="Times New Roman"/>
          <w:sz w:val="22"/>
          <w:lang w:val="es-AR"/>
        </w:rPr>
        <w:t>Para acceder al instrumento “Aportes No Reembolsables” establecido por el inciso c) del Artículo 7° del Decreto Nº 606/14, los solicitantes deberán incorporar a su solicitud de financiamiento la documentación que justificare en forma suficiente la situación de excepcionalidad prevista por la norma para el acceso a tal instrumento</w:t>
      </w:r>
      <w:r w:rsidR="000B558D" w:rsidRPr="004E7F0E">
        <w:rPr>
          <w:rFonts w:ascii="AkzidenzGroteskBE-Regular" w:hAnsi="AkzidenzGroteskBE-Regular" w:cs="Times New Roman"/>
          <w:sz w:val="22"/>
          <w:lang w:val="es-AR"/>
        </w:rPr>
        <w:t xml:space="preserve"> </w:t>
      </w:r>
    </w:p>
    <w:p w:rsidR="003C0A25" w:rsidRPr="004E7F0E" w:rsidRDefault="003C0A25" w:rsidP="00C176CB">
      <w:pPr>
        <w:autoSpaceDE w:val="0"/>
        <w:autoSpaceDN w:val="0"/>
        <w:adjustRightInd w:val="0"/>
        <w:spacing w:before="0"/>
        <w:ind w:firstLine="0"/>
        <w:jc w:val="both"/>
        <w:rPr>
          <w:rFonts w:ascii="AkzidenzGroteskBE-Regular" w:hAnsi="AkzidenzGroteskBE-Regular" w:cs="Times New Roman"/>
          <w:sz w:val="8"/>
          <w:szCs w:val="8"/>
          <w:lang w:val="es-AR"/>
        </w:rPr>
      </w:pPr>
    </w:p>
    <w:p w:rsidR="00267FF0" w:rsidRPr="004E7F0E" w:rsidRDefault="00267FF0" w:rsidP="00C176CB">
      <w:pPr>
        <w:autoSpaceDE w:val="0"/>
        <w:autoSpaceDN w:val="0"/>
        <w:adjustRightInd w:val="0"/>
        <w:spacing w:before="0"/>
        <w:ind w:firstLine="0"/>
        <w:jc w:val="both"/>
        <w:rPr>
          <w:rFonts w:ascii="AkzidenzGroteskBE-Regular" w:hAnsi="AkzidenzGroteskBE-Regular" w:cs="Times New Roman"/>
          <w:sz w:val="22"/>
          <w:lang w:val="es-AR"/>
        </w:rPr>
      </w:pPr>
      <w:r w:rsidRPr="004E7F0E">
        <w:rPr>
          <w:rFonts w:ascii="AkzidenzGroteskBE-Regular" w:hAnsi="AkzidenzGroteskBE-Regular" w:cs="Times New Roman"/>
          <w:sz w:val="22"/>
          <w:lang w:val="es-AR"/>
        </w:rPr>
        <w:t>Características de los préstamos.</w:t>
      </w:r>
    </w:p>
    <w:p w:rsidR="00267FF0" w:rsidRPr="004E7F0E" w:rsidRDefault="00981C87" w:rsidP="00981C87">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Inversiones productivas: </w:t>
      </w:r>
    </w:p>
    <w:p w:rsidR="00981C87" w:rsidRPr="004E7F0E" w:rsidRDefault="00981C87" w:rsidP="00981C8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Se financiará hasta el OCHETA POR CIENTO (80%) del proyecto, comprometiéndose el destinatario </w:t>
      </w:r>
      <w:r w:rsidR="002E5067" w:rsidRPr="004E7F0E">
        <w:rPr>
          <w:rFonts w:ascii="AkzidenzGroteskBE-Regular" w:hAnsi="AkzidenzGroteskBE-Regular" w:cs="Times New Roman"/>
          <w:sz w:val="22"/>
        </w:rPr>
        <w:t xml:space="preserve"> a informar cómo financiará el porcentaje restante. </w:t>
      </w:r>
    </w:p>
    <w:p w:rsidR="002E5067" w:rsidRPr="004E7F0E" w:rsidRDefault="002E5067" w:rsidP="00981C8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Los créditos serán otorgados y devueltos en Pesos Argentinos. </w:t>
      </w:r>
    </w:p>
    <w:p w:rsidR="002E5067" w:rsidRPr="004E7F0E" w:rsidRDefault="002E5067" w:rsidP="00981C8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Tasa de Interés: </w:t>
      </w:r>
    </w:p>
    <w:p w:rsidR="002E5067" w:rsidRPr="004E7F0E" w:rsidRDefault="002E5067" w:rsidP="002E5067">
      <w:pPr>
        <w:pStyle w:val="Prrafodelista"/>
        <w:numPr>
          <w:ilvl w:val="0"/>
          <w:numId w:val="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PREQUEÑAS Y MEDIANAS EMPRESAS (</w:t>
      </w:r>
      <w:proofErr w:type="spellStart"/>
      <w:r w:rsidRPr="004E7F0E">
        <w:rPr>
          <w:rFonts w:ascii="AkzidenzGroteskBE-Regular" w:hAnsi="AkzidenzGroteskBE-Regular" w:cs="Times New Roman"/>
          <w:sz w:val="22"/>
        </w:rPr>
        <w:t>PyMEs</w:t>
      </w:r>
      <w:proofErr w:type="spellEnd"/>
      <w:r w:rsidRPr="004E7F0E">
        <w:rPr>
          <w:rFonts w:ascii="AkzidenzGroteskBE-Regular" w:hAnsi="AkzidenzGroteskBE-Regular" w:cs="Times New Roman"/>
          <w:sz w:val="22"/>
        </w:rPr>
        <w:t xml:space="preserve">) según la Resolución N° 24 de fecha 15 de febrero de 2001 de la ex SECRETARÍA DE </w:t>
      </w:r>
      <w:r w:rsidR="00B35B81" w:rsidRPr="004E7F0E">
        <w:rPr>
          <w:rFonts w:ascii="AkzidenzGroteskBE-Regular" w:hAnsi="AkzidenzGroteskBE-Regular" w:cs="Times New Roman"/>
          <w:sz w:val="22"/>
        </w:rPr>
        <w:t>L</w:t>
      </w:r>
      <w:r w:rsidRPr="004E7F0E">
        <w:rPr>
          <w:rFonts w:ascii="AkzidenzGroteskBE-Regular" w:hAnsi="AkzidenzGroteskBE-Regular" w:cs="Times New Roman"/>
          <w:sz w:val="22"/>
        </w:rPr>
        <w:t xml:space="preserve">A PEQUEÑA Y MEDIANA EMPRESA del ex MINITERIO DE ECONOMIA y sus modificaciones: CATORCE POR CIENTO (14%) , nominal anual  y fija en Pesos Argentinos. </w:t>
      </w:r>
    </w:p>
    <w:p w:rsidR="002E5067" w:rsidRPr="004E7F0E" w:rsidRDefault="002E5067" w:rsidP="002E5067">
      <w:pPr>
        <w:pStyle w:val="Prrafodelista"/>
        <w:numPr>
          <w:ilvl w:val="0"/>
          <w:numId w:val="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GRABDES EMPRESAS: DIECINUEVE POR CIENTO (19%), nomi</w:t>
      </w:r>
      <w:r w:rsidR="00F70820" w:rsidRPr="004E7F0E">
        <w:rPr>
          <w:rFonts w:ascii="AkzidenzGroteskBE-Regular" w:hAnsi="AkzidenzGroteskBE-Regular" w:cs="Times New Roman"/>
          <w:sz w:val="22"/>
        </w:rPr>
        <w:t>n</w:t>
      </w:r>
      <w:r w:rsidRPr="004E7F0E">
        <w:rPr>
          <w:rFonts w:ascii="AkzidenzGroteskBE-Regular" w:hAnsi="AkzidenzGroteskBE-Regular" w:cs="Times New Roman"/>
          <w:sz w:val="22"/>
        </w:rPr>
        <w:t xml:space="preserve">a anual y fija en Pesos Argentinos hasta VEINTICUATRO (24) meses y luego tasa variable equivalente a LEBAC NOVENTA (90) días con un tope mínimo de CATORCE POR CIENTO (14%) y máximo de VENTICINCO POR CIENTO (25%). </w:t>
      </w:r>
    </w:p>
    <w:p w:rsidR="002E5067" w:rsidRPr="004E7F0E" w:rsidRDefault="002E5067" w:rsidP="002E506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El plazo máximo del crédito podrá ser de hasta OCHENTA Y CUATRO (84) meses según las características que presente el proyecto, incluyendo el eventual período </w:t>
      </w:r>
      <w:r w:rsidR="00CB2689" w:rsidRPr="004E7F0E">
        <w:rPr>
          <w:rFonts w:ascii="AkzidenzGroteskBE-Regular" w:hAnsi="AkzidenzGroteskBE-Regular" w:cs="Times New Roman"/>
          <w:sz w:val="22"/>
        </w:rPr>
        <w:t xml:space="preserve">de gracia. </w:t>
      </w:r>
    </w:p>
    <w:p w:rsidR="00CB2689" w:rsidRPr="004E7F0E" w:rsidRDefault="001E1656" w:rsidP="002E506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Período de gracia: Hasta TREINTA y SEIS (36) meses sobre el capital de interés. </w:t>
      </w:r>
    </w:p>
    <w:p w:rsidR="001E1656" w:rsidRPr="004E7F0E" w:rsidRDefault="001E1656" w:rsidP="002E5067">
      <w:pPr>
        <w:pStyle w:val="Prrafodelista"/>
        <w:numPr>
          <w:ilvl w:val="0"/>
          <w:numId w:val="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Garantías: a satisfacción de la evaluación de riesgo crediticio. </w:t>
      </w:r>
    </w:p>
    <w:p w:rsidR="001E1656" w:rsidRPr="004E7F0E" w:rsidRDefault="001E1656" w:rsidP="001E1656">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lastRenderedPageBreak/>
        <w:t xml:space="preserve">Adquisición de capital de trabajo incremental </w:t>
      </w:r>
      <w:r w:rsidR="00B35B81" w:rsidRPr="004E7F0E">
        <w:rPr>
          <w:rFonts w:ascii="AkzidenzGroteskBE-Regular" w:hAnsi="AkzidenzGroteskBE-Regular" w:cs="Times New Roman"/>
          <w:sz w:val="22"/>
        </w:rPr>
        <w:t xml:space="preserve">y/o para resolver situaciones críticas debidamente justificadas. </w:t>
      </w:r>
    </w:p>
    <w:p w:rsidR="00B35B81" w:rsidRPr="004E7F0E" w:rsidRDefault="00B35B81" w:rsidP="00B35B81">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Se financiará como máximo hasta el CUARENTA PRO CIENTO (40%) de las ventas netas anuales de la empresa. </w:t>
      </w:r>
    </w:p>
    <w:p w:rsidR="00B35B81" w:rsidRPr="004E7F0E" w:rsidRDefault="00B35B81" w:rsidP="00B35B81">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Los créditos serán otorgados y devueltos en Pesos Argentinos </w:t>
      </w:r>
    </w:p>
    <w:p w:rsidR="00B35B81" w:rsidRPr="004E7F0E" w:rsidRDefault="00B35B81" w:rsidP="00B35B81">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Tasas de interés: </w:t>
      </w:r>
    </w:p>
    <w:p w:rsidR="00266732" w:rsidRPr="004E7F0E" w:rsidRDefault="00B35B81" w:rsidP="00B35B81">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PREQUEÑAS Y MEDIANAS EMPRESAS (</w:t>
      </w:r>
      <w:proofErr w:type="spellStart"/>
      <w:r w:rsidRPr="004E7F0E">
        <w:rPr>
          <w:rFonts w:ascii="AkzidenzGroteskBE-Regular" w:hAnsi="AkzidenzGroteskBE-Regular" w:cs="Times New Roman"/>
          <w:sz w:val="22"/>
        </w:rPr>
        <w:t>PyMEs</w:t>
      </w:r>
      <w:proofErr w:type="spellEnd"/>
      <w:r w:rsidRPr="004E7F0E">
        <w:rPr>
          <w:rFonts w:ascii="AkzidenzGroteskBE-Regular" w:hAnsi="AkzidenzGroteskBE-Regular" w:cs="Times New Roman"/>
          <w:sz w:val="22"/>
        </w:rPr>
        <w:t>) según la Resolución N° 24/01 de la ex SECRETARÍA DE LA PEQUEÑA Y MEDIANA EMPRESA</w:t>
      </w:r>
      <w:bookmarkStart w:id="0" w:name="_GoBack"/>
      <w:bookmarkEnd w:id="0"/>
      <w:r w:rsidRPr="004E7F0E">
        <w:rPr>
          <w:rFonts w:ascii="AkzidenzGroteskBE-Regular" w:hAnsi="AkzidenzGroteskBE-Regular" w:cs="Times New Roman"/>
          <w:sz w:val="22"/>
        </w:rPr>
        <w:t xml:space="preserve"> </w:t>
      </w:r>
      <w:r w:rsidR="00266732" w:rsidRPr="004E7F0E">
        <w:rPr>
          <w:rFonts w:ascii="AkzidenzGroteskBE-Regular" w:hAnsi="AkzidenzGroteskBE-Regular" w:cs="Times New Roman"/>
          <w:sz w:val="22"/>
        </w:rPr>
        <w:t xml:space="preserve">y sus modificatorias: DIECINUEVE POR CIENTO (19%) nominal anual y fija en Pesos Argentinos. </w:t>
      </w:r>
    </w:p>
    <w:p w:rsidR="00266732" w:rsidRPr="004E7F0E" w:rsidRDefault="0098797B" w:rsidP="00B35B81">
      <w:pPr>
        <w:pStyle w:val="Prrafodelista"/>
        <w:numPr>
          <w:ilvl w:val="0"/>
          <w:numId w:val="9"/>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GRANDES EMPRESAS: Tasa variable equivalente a LEBAC NOVENTA (90) días. </w:t>
      </w:r>
    </w:p>
    <w:p w:rsidR="0098797B" w:rsidRPr="004E7F0E" w:rsidRDefault="0098797B" w:rsidP="0098797B">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El plazo máximo del crédito podrá ser de hasta TREINTA Y SEIS (36%) meses, incluyendo el eventual período de gracia. </w:t>
      </w:r>
    </w:p>
    <w:p w:rsidR="00F33F71" w:rsidRPr="004E7F0E" w:rsidRDefault="00F33F71" w:rsidP="0098797B">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Período de gracia: hasta UN (1) año sobre el capital e interés. </w:t>
      </w:r>
    </w:p>
    <w:p w:rsidR="00F33F71" w:rsidRPr="004E7F0E" w:rsidRDefault="00F33F71" w:rsidP="0098797B">
      <w:pPr>
        <w:pStyle w:val="Prrafodelista"/>
        <w:numPr>
          <w:ilvl w:val="0"/>
          <w:numId w:val="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Garantías: a satisfacción de la evaluación de riesgo crediticio. </w:t>
      </w:r>
    </w:p>
    <w:p w:rsidR="00171612" w:rsidRPr="004E7F0E" w:rsidRDefault="00171612" w:rsidP="00171612">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Prefinanciación de exportaciones</w:t>
      </w:r>
    </w:p>
    <w:p w:rsidR="00171612" w:rsidRPr="004E7F0E" w:rsidRDefault="00171612"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Se financiará hasta el SETENTA Y CINCO POR CIENTO (75%) de valor “FOB” de la exportación. </w:t>
      </w:r>
    </w:p>
    <w:p w:rsidR="00171612" w:rsidRPr="004E7F0E" w:rsidRDefault="00171612"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Los créditos serán denominados en Dólares Estadounidenses. La liquidación se efectuará en Pesos Argentinos equivalentes al monto de Dólares Estadounidenses aprobado. </w:t>
      </w:r>
    </w:p>
    <w:p w:rsidR="00171612" w:rsidRPr="004E7F0E" w:rsidRDefault="00171612"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Tasa de interés: LIBOR TRESCIENTOS SESENTA (360) días más CUATROCIENTOS (400) puntos básicos. </w:t>
      </w:r>
    </w:p>
    <w:p w:rsidR="00171612" w:rsidRPr="004E7F0E" w:rsidRDefault="000B558D"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El plazo máximo del crédito podrá ser de hasta DOCE (12) meses, incluido el eventual período de gracia. </w:t>
      </w:r>
    </w:p>
    <w:p w:rsidR="000B558D" w:rsidRPr="004E7F0E" w:rsidRDefault="000B558D"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Período de gracia: hasta TRES (3) meses sobre el capital. </w:t>
      </w:r>
    </w:p>
    <w:p w:rsidR="000B558D" w:rsidRPr="004E7F0E" w:rsidRDefault="000B558D" w:rsidP="00171612">
      <w:pPr>
        <w:pStyle w:val="Prrafodelista"/>
        <w:numPr>
          <w:ilvl w:val="0"/>
          <w:numId w:val="10"/>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Garantías: a satisfacción de la evaluación de riesgo crediticio. </w:t>
      </w:r>
    </w:p>
    <w:p w:rsidR="000B558D" w:rsidRPr="004E7F0E" w:rsidRDefault="000B558D" w:rsidP="000B558D">
      <w:pPr>
        <w:pStyle w:val="Prrafodelista"/>
        <w:numPr>
          <w:ilvl w:val="0"/>
          <w:numId w:val="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Post financiación de exportaciones </w:t>
      </w:r>
    </w:p>
    <w:p w:rsidR="000B558D" w:rsidRPr="004E7F0E" w:rsidRDefault="000B558D" w:rsidP="000B558D">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Se financiará hasta el OCEHNTA POR CIENTO (80%) del valor “FOB” de la exportación</w:t>
      </w:r>
      <w:r w:rsidR="00151736" w:rsidRPr="004E7F0E">
        <w:rPr>
          <w:rFonts w:ascii="AkzidenzGroteskBE-Regular" w:hAnsi="AkzidenzGroteskBE-Regular" w:cs="Times New Roman"/>
          <w:sz w:val="22"/>
        </w:rPr>
        <w:t xml:space="preserve">. </w:t>
      </w:r>
    </w:p>
    <w:p w:rsidR="00151736" w:rsidRPr="004E7F0E" w:rsidRDefault="00151736" w:rsidP="000B558D">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Los créditos serán denominados en Dólares Estadounidenses. La liquidación se efectuará en Pesos Argentinos equivalentes al monto en Dólares Estadounidenses aprobado. </w:t>
      </w:r>
    </w:p>
    <w:p w:rsidR="00151736" w:rsidRPr="004E7F0E" w:rsidRDefault="00151736" w:rsidP="000B558D">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Tasas de Interés: </w:t>
      </w:r>
    </w:p>
    <w:p w:rsidR="00C155DD" w:rsidRPr="004E7F0E" w:rsidRDefault="00151736" w:rsidP="00151736">
      <w:pPr>
        <w:pStyle w:val="Prrafodelista"/>
        <w:numPr>
          <w:ilvl w:val="0"/>
          <w:numId w:val="1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PREQUEÑAS Y MEDIANAS EMPRESAS (</w:t>
      </w:r>
      <w:proofErr w:type="spellStart"/>
      <w:r w:rsidRPr="004E7F0E">
        <w:rPr>
          <w:rFonts w:ascii="AkzidenzGroteskBE-Regular" w:hAnsi="AkzidenzGroteskBE-Regular" w:cs="Times New Roman"/>
          <w:sz w:val="22"/>
        </w:rPr>
        <w:t>PyMEs</w:t>
      </w:r>
      <w:proofErr w:type="spellEnd"/>
      <w:r w:rsidRPr="004E7F0E">
        <w:rPr>
          <w:rFonts w:ascii="AkzidenzGroteskBE-Regular" w:hAnsi="AkzidenzGroteskBE-Regular" w:cs="Times New Roman"/>
          <w:sz w:val="22"/>
        </w:rPr>
        <w:t xml:space="preserve">) según la resolución  N° 21/01 de la ex SECRETARIA DE LA PEQUEÑA Y MEDIANA EMPRESA y sus modificatorias: LIBOR TRESCIENTOS SESENTA (360) días más </w:t>
      </w:r>
      <w:r w:rsidR="00C155DD" w:rsidRPr="004E7F0E">
        <w:rPr>
          <w:rFonts w:ascii="AkzidenzGroteskBE-Regular" w:hAnsi="AkzidenzGroteskBE-Regular" w:cs="Times New Roman"/>
          <w:sz w:val="22"/>
        </w:rPr>
        <w:t xml:space="preserve">CIEN (100) puntos básicos. </w:t>
      </w:r>
    </w:p>
    <w:p w:rsidR="00C155DD" w:rsidRPr="004E7F0E" w:rsidRDefault="00C155DD" w:rsidP="00151736">
      <w:pPr>
        <w:pStyle w:val="Prrafodelista"/>
        <w:numPr>
          <w:ilvl w:val="0"/>
          <w:numId w:val="12"/>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GRANDES EMPRESAS: LIBOR TRESCIENTOS SESENTA (360) días más CUATROCIENTOS (400) puntos básicos. </w:t>
      </w:r>
    </w:p>
    <w:p w:rsidR="00824023" w:rsidRPr="004E7F0E" w:rsidRDefault="00824023" w:rsidP="0082402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El plazo del crédito se otorgará en función de la garantía con un máximo de OCHENTA Y CUATRO (84) meses. </w:t>
      </w:r>
    </w:p>
    <w:p w:rsidR="00151736" w:rsidRPr="004E7F0E" w:rsidRDefault="00E72334" w:rsidP="0082402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Período de gracia: hasta TRES (3) meses sobre el capital. </w:t>
      </w:r>
      <w:r w:rsidR="00824023" w:rsidRPr="004E7F0E">
        <w:rPr>
          <w:rFonts w:ascii="AkzidenzGroteskBE-Regular" w:hAnsi="AkzidenzGroteskBE-Regular" w:cs="Times New Roman"/>
          <w:sz w:val="22"/>
        </w:rPr>
        <w:t xml:space="preserve"> </w:t>
      </w:r>
    </w:p>
    <w:p w:rsidR="00E72334" w:rsidRPr="004E7F0E" w:rsidRDefault="00E72334" w:rsidP="00824023">
      <w:pPr>
        <w:pStyle w:val="Prrafodelista"/>
        <w:numPr>
          <w:ilvl w:val="0"/>
          <w:numId w:val="11"/>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Garantías: a satisfacción de la evaluación de riesgo crediticio. </w:t>
      </w:r>
    </w:p>
    <w:p w:rsidR="00E72334" w:rsidRPr="004E7F0E" w:rsidRDefault="00E72334" w:rsidP="00E72334">
      <w:pPr>
        <w:pStyle w:val="Prrafodelista"/>
        <w:autoSpaceDE w:val="0"/>
        <w:autoSpaceDN w:val="0"/>
        <w:adjustRightInd w:val="0"/>
        <w:spacing w:before="0"/>
        <w:ind w:left="1080" w:firstLine="0"/>
        <w:jc w:val="both"/>
        <w:rPr>
          <w:rFonts w:ascii="AkzidenzGroteskBE-Regular" w:hAnsi="AkzidenzGroteskBE-Regular" w:cs="Times New Roman"/>
          <w:sz w:val="22"/>
        </w:rPr>
      </w:pPr>
    </w:p>
    <w:p w:rsidR="000F424C" w:rsidRPr="004E7F0E" w:rsidRDefault="001E165D" w:rsidP="001E165D">
      <w:pPr>
        <w:autoSpaceDE w:val="0"/>
        <w:autoSpaceDN w:val="0"/>
        <w:adjustRightInd w:val="0"/>
        <w:spacing w:before="0"/>
        <w:ind w:firstLine="0"/>
        <w:jc w:val="both"/>
        <w:rPr>
          <w:rFonts w:ascii="AkzidenzGroteskBE-Regular" w:hAnsi="AkzidenzGroteskBE-Regular" w:cs="Times New Roman"/>
          <w:sz w:val="22"/>
        </w:rPr>
      </w:pPr>
      <w:r w:rsidRPr="004E7F0E">
        <w:rPr>
          <w:rFonts w:ascii="AkzidenzGroteskBE-Regular" w:hAnsi="AkzidenzGroteskBE-Regular" w:cs="Times New Roman"/>
          <w:sz w:val="22"/>
        </w:rPr>
        <w:t>Tomando en cuenta los lineamientos anteriormente detalladas, se priorizan los proyectos orientados a los siguientes sectores</w:t>
      </w:r>
      <w:r w:rsidR="000F424C" w:rsidRPr="004E7F0E">
        <w:rPr>
          <w:rFonts w:ascii="AkzidenzGroteskBE-Regular" w:hAnsi="AkzidenzGroteskBE-Regular" w:cs="Times New Roman"/>
          <w:sz w:val="22"/>
        </w:rPr>
        <w:t xml:space="preserve">, segmentos y productos: </w:t>
      </w:r>
    </w:p>
    <w:p w:rsidR="000F424C" w:rsidRPr="004E7F0E" w:rsidRDefault="000F424C"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Automotriz y autopartes: instalación de plataformas nuevas; producción local del sistema motor y sus partes; sistema de trasmisión y sus partes; otros sistemas, conjunto y subconjunto que no se producen localmente (elementos de seguridad de vehículos, módulos electrónicos, sistemas de inyección, frenos y sus partes, baterías, entre otros); fundición, forja y mecanizado. </w:t>
      </w:r>
    </w:p>
    <w:p w:rsidR="00171612" w:rsidRPr="004E7F0E" w:rsidRDefault="000F424C"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Bienes de capital y sus partes y piezas: sembradoras y pulverizadoras; máquinas de corte, plegadoras, prensas; máquinas para la elaboración de alimentos y bebidas; </w:t>
      </w:r>
      <w:r w:rsidRPr="004E7F0E">
        <w:rPr>
          <w:rFonts w:ascii="AkzidenzGroteskBE-Regular" w:hAnsi="AkzidenzGroteskBE-Regular" w:cs="Times New Roman"/>
          <w:sz w:val="22"/>
        </w:rPr>
        <w:lastRenderedPageBreak/>
        <w:t>equipamiento médico y odontológico; motores a combustión y eléctricos; equipamiento para el sector eléctrico (transformadores para distribución;  conductores de alta, media y baja tensión; aparatos de control y distribución de energía eléctrica; equipos de generación eólica; turbinas de energía hidráulica; transformadores de potencia utilizados en transporte); material ferroviario e industria naval; insumos y bienes de capital par</w:t>
      </w:r>
      <w:r w:rsidR="00816D22" w:rsidRPr="004E7F0E">
        <w:rPr>
          <w:rFonts w:ascii="AkzidenzGroteskBE-Regular" w:hAnsi="AkzidenzGroteskBE-Regular" w:cs="Times New Roman"/>
          <w:sz w:val="22"/>
        </w:rPr>
        <w:t>a</w:t>
      </w:r>
      <w:r w:rsidRPr="004E7F0E">
        <w:rPr>
          <w:rFonts w:ascii="AkzidenzGroteskBE-Regular" w:hAnsi="AkzidenzGroteskBE-Regular" w:cs="Times New Roman"/>
          <w:sz w:val="22"/>
        </w:rPr>
        <w:t xml:space="preserve"> la industria del petróleo y gas (bombas y válvulas para la industria </w:t>
      </w:r>
      <w:r w:rsidR="00975795" w:rsidRPr="004E7F0E">
        <w:rPr>
          <w:rFonts w:ascii="AkzidenzGroteskBE-Regular" w:hAnsi="AkzidenzGroteskBE-Regular" w:cs="Times New Roman"/>
          <w:sz w:val="22"/>
        </w:rPr>
        <w:t xml:space="preserve">petrolera, bombas centrífugas, compresores para </w:t>
      </w:r>
      <w:r w:rsidR="00816D22" w:rsidRPr="004E7F0E">
        <w:rPr>
          <w:rFonts w:ascii="AkzidenzGroteskBE-Regular" w:hAnsi="AkzidenzGroteskBE-Regular" w:cs="Times New Roman"/>
          <w:sz w:val="22"/>
        </w:rPr>
        <w:t xml:space="preserve">la recuperación terciaria y para la recuperación no convencional, equipamiento para refinación de petróleo y tratamiento de gas natural, equipos para gas </w:t>
      </w:r>
      <w:r w:rsidR="00592FF8" w:rsidRPr="004E7F0E">
        <w:rPr>
          <w:rFonts w:ascii="AkzidenzGroteskBE-Regular" w:hAnsi="AkzidenzGroteskBE-Regular" w:cs="Times New Roman"/>
          <w:sz w:val="22"/>
        </w:rPr>
        <w:t>natural (GNC), arenas de fractur</w:t>
      </w:r>
      <w:r w:rsidR="00816D22" w:rsidRPr="004E7F0E">
        <w:rPr>
          <w:rFonts w:ascii="AkzidenzGroteskBE-Regular" w:hAnsi="AkzidenzGroteskBE-Regular" w:cs="Times New Roman"/>
          <w:sz w:val="22"/>
        </w:rPr>
        <w:t>a)</w:t>
      </w:r>
      <w:r w:rsidR="00592FF8" w:rsidRPr="004E7F0E">
        <w:rPr>
          <w:rFonts w:ascii="AkzidenzGroteskBE-Regular" w:hAnsi="AkzidenzGroteskBE-Regular" w:cs="Times New Roman"/>
          <w:sz w:val="22"/>
        </w:rPr>
        <w:t xml:space="preserve">. </w:t>
      </w:r>
    </w:p>
    <w:p w:rsidR="00592FF8" w:rsidRPr="004E7F0E" w:rsidRDefault="001944D5"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Insumos metálicos de uso difundido: </w:t>
      </w:r>
      <w:proofErr w:type="spellStart"/>
      <w:r w:rsidRPr="004E7F0E">
        <w:rPr>
          <w:rFonts w:ascii="AkzidenzGroteskBE-Regular" w:hAnsi="AkzidenzGroteskBE-Regular" w:cs="Times New Roman"/>
          <w:sz w:val="22"/>
        </w:rPr>
        <w:t>semiterminados</w:t>
      </w:r>
      <w:proofErr w:type="spellEnd"/>
      <w:r w:rsidRPr="004E7F0E">
        <w:rPr>
          <w:rFonts w:ascii="AkzidenzGroteskBE-Regular" w:hAnsi="AkzidenzGroteskBE-Regular" w:cs="Times New Roman"/>
          <w:sz w:val="22"/>
        </w:rPr>
        <w:t xml:space="preserve"> y terminados no planos de acero; productos </w:t>
      </w:r>
      <w:proofErr w:type="spellStart"/>
      <w:r w:rsidRPr="004E7F0E">
        <w:rPr>
          <w:rFonts w:ascii="AkzidenzGroteskBE-Regular" w:hAnsi="AkzidenzGroteskBE-Regular" w:cs="Times New Roman"/>
          <w:sz w:val="22"/>
        </w:rPr>
        <w:t>semiterminados</w:t>
      </w:r>
      <w:proofErr w:type="spellEnd"/>
      <w:r w:rsidRPr="004E7F0E">
        <w:rPr>
          <w:rFonts w:ascii="AkzidenzGroteskBE-Regular" w:hAnsi="AkzidenzGroteskBE-Regular" w:cs="Times New Roman"/>
          <w:sz w:val="22"/>
        </w:rPr>
        <w:t xml:space="preserve"> y terminados de acero especiales, laminados planos, gruesos de acero para la industria naval e insumos para la industria de bienes de capital y el sector autopartista; </w:t>
      </w:r>
      <w:proofErr w:type="spellStart"/>
      <w:r w:rsidRPr="004E7F0E">
        <w:rPr>
          <w:rFonts w:ascii="AkzidenzGroteskBE-Regular" w:hAnsi="AkzidenzGroteskBE-Regular" w:cs="Times New Roman"/>
          <w:sz w:val="22"/>
        </w:rPr>
        <w:t>semiterminados</w:t>
      </w:r>
      <w:proofErr w:type="spellEnd"/>
      <w:r w:rsidRPr="004E7F0E">
        <w:rPr>
          <w:rFonts w:ascii="AkzidenzGroteskBE-Regular" w:hAnsi="AkzidenzGroteskBE-Regular" w:cs="Times New Roman"/>
          <w:sz w:val="22"/>
        </w:rPr>
        <w:t xml:space="preserve"> no aleados de aluminio; aleaciones especiales y </w:t>
      </w:r>
      <w:proofErr w:type="spellStart"/>
      <w:r w:rsidRPr="004E7F0E">
        <w:rPr>
          <w:rFonts w:ascii="AkzidenzGroteskBE-Regular" w:hAnsi="AkzidenzGroteskBE-Regular" w:cs="Times New Roman"/>
          <w:sz w:val="22"/>
        </w:rPr>
        <w:t>semimanufacturados</w:t>
      </w:r>
      <w:proofErr w:type="spellEnd"/>
      <w:r w:rsidRPr="004E7F0E">
        <w:rPr>
          <w:rFonts w:ascii="AkzidenzGroteskBE-Regular" w:hAnsi="AkzidenzGroteskBE-Regular" w:cs="Times New Roman"/>
          <w:sz w:val="22"/>
        </w:rPr>
        <w:t xml:space="preserve"> de aluminio y aluminio secundario. </w:t>
      </w:r>
    </w:p>
    <w:p w:rsidR="001944D5" w:rsidRPr="004E7F0E" w:rsidRDefault="001944D5"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Medicamentos: inversiones vinculadas a Investigación y Desarrollo para la producción de medicamentos empleados en tratamientos especiales y de genéricos de uso hospitalario, biotecnología aplicada a la salud humana, desarrollo de medicamentos biológicos y vacunas (principalmente, para la elaboración de principios activos incluidos en las vacunas del Calendario Nacional de Vacunación y en los medicamentos del Programa Médico Obligatorio). </w:t>
      </w:r>
    </w:p>
    <w:p w:rsidR="001944D5" w:rsidRPr="004E7F0E" w:rsidRDefault="00A4088C"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Petroquímica y plástico: polímeros; </w:t>
      </w:r>
      <w:proofErr w:type="gramStart"/>
      <w:r w:rsidR="00954D94" w:rsidRPr="004E7F0E">
        <w:rPr>
          <w:rFonts w:ascii="AkzidenzGroteskBE-Regular" w:hAnsi="AkzidenzGroteskBE-Regular" w:cs="Times New Roman"/>
          <w:sz w:val="22"/>
        </w:rPr>
        <w:t>fibras textiles; petroquímica</w:t>
      </w:r>
      <w:proofErr w:type="gramEnd"/>
      <w:r w:rsidRPr="004E7F0E">
        <w:rPr>
          <w:rFonts w:ascii="AkzidenzGroteskBE-Regular" w:hAnsi="AkzidenzGroteskBE-Regular" w:cs="Times New Roman"/>
          <w:sz w:val="22"/>
        </w:rPr>
        <w:t xml:space="preserve"> de tercera generación; prótesis y/o insumos médicos. </w:t>
      </w:r>
    </w:p>
    <w:p w:rsidR="00A4088C" w:rsidRPr="004E7F0E" w:rsidRDefault="00A4088C"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Transporte de carga</w:t>
      </w:r>
      <w:r w:rsidR="00EA22EC" w:rsidRPr="004E7F0E">
        <w:rPr>
          <w:rFonts w:ascii="AkzidenzGroteskBE-Regular" w:hAnsi="AkzidenzGroteskBE-Regular" w:cs="Times New Roman"/>
          <w:sz w:val="22"/>
        </w:rPr>
        <w:t xml:space="preserve"> y</w:t>
      </w:r>
      <w:r w:rsidRPr="004E7F0E">
        <w:rPr>
          <w:rFonts w:ascii="AkzidenzGroteskBE-Regular" w:hAnsi="AkzidenzGroteskBE-Regular" w:cs="Times New Roman"/>
          <w:sz w:val="22"/>
        </w:rPr>
        <w:t xml:space="preserve"> logística</w:t>
      </w:r>
      <w:r w:rsidR="00EA22EC" w:rsidRPr="004E7F0E">
        <w:rPr>
          <w:rFonts w:ascii="AkzidenzGroteskBE-Regular" w:hAnsi="AkzidenzGroteskBE-Regular" w:cs="Times New Roman"/>
          <w:sz w:val="22"/>
        </w:rPr>
        <w:t>: instalación o ampliación de plataformas para transbordo de mercancías; conformación de zonas de actividad logística</w:t>
      </w:r>
      <w:r w:rsidRPr="004E7F0E">
        <w:rPr>
          <w:rFonts w:ascii="AkzidenzGroteskBE-Regular" w:hAnsi="AkzidenzGroteskBE-Regular" w:cs="Times New Roman"/>
          <w:sz w:val="22"/>
        </w:rPr>
        <w:t xml:space="preserve"> </w:t>
      </w:r>
      <w:r w:rsidR="00EA22EC" w:rsidRPr="004E7F0E">
        <w:rPr>
          <w:rFonts w:ascii="AkzidenzGroteskBE-Regular" w:hAnsi="AkzidenzGroteskBE-Regular" w:cs="Times New Roman"/>
          <w:sz w:val="22"/>
        </w:rPr>
        <w:t xml:space="preserve">y/o centros  de distribución de mercancías; implementación de sistemas de información logística. </w:t>
      </w:r>
    </w:p>
    <w:p w:rsidR="00EA22EC" w:rsidRPr="004E7F0E" w:rsidRDefault="00E9517C"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Electrónica: desarrollo y diseño de chips, diseño y desarrollo de componentes y de dispositivos electrónicos (instrumentos de medición y control para tuberías de petróleo y gas y equipos de control numérico); software asociado. </w:t>
      </w:r>
    </w:p>
    <w:p w:rsidR="0098019D" w:rsidRPr="004E7F0E" w:rsidRDefault="0098019D" w:rsidP="000F424C">
      <w:pPr>
        <w:pStyle w:val="Prrafodelista"/>
        <w:numPr>
          <w:ilvl w:val="0"/>
          <w:numId w:val="13"/>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Petróleo y gas: exploración y explotación, convencional y no convencional refinación de petróleo crudo liviano y pesado; separación de gases. </w:t>
      </w:r>
    </w:p>
    <w:p w:rsidR="0098019D" w:rsidRPr="004E7F0E" w:rsidRDefault="0098019D" w:rsidP="0098019D">
      <w:pPr>
        <w:autoSpaceDE w:val="0"/>
        <w:autoSpaceDN w:val="0"/>
        <w:adjustRightInd w:val="0"/>
        <w:spacing w:before="0"/>
        <w:ind w:left="360" w:firstLine="0"/>
        <w:jc w:val="both"/>
        <w:rPr>
          <w:rFonts w:ascii="AkzidenzGroteskBE-Regular" w:hAnsi="AkzidenzGroteskBE-Regular" w:cs="Times New Roman"/>
          <w:sz w:val="22"/>
        </w:rPr>
      </w:pPr>
    </w:p>
    <w:p w:rsidR="0098019D" w:rsidRPr="004E7F0E" w:rsidRDefault="0098019D" w:rsidP="0098019D">
      <w:pPr>
        <w:autoSpaceDE w:val="0"/>
        <w:autoSpaceDN w:val="0"/>
        <w:adjustRightInd w:val="0"/>
        <w:spacing w:before="0"/>
        <w:ind w:firstLine="0"/>
        <w:jc w:val="both"/>
        <w:rPr>
          <w:rFonts w:ascii="AkzidenzGroteskBE-Regular" w:hAnsi="AkzidenzGroteskBE-Regular" w:cs="Times New Roman"/>
          <w:sz w:val="22"/>
        </w:rPr>
      </w:pPr>
      <w:r w:rsidRPr="004E7F0E">
        <w:rPr>
          <w:rFonts w:ascii="AkzidenzGroteskBE-Regular" w:hAnsi="AkzidenzGroteskBE-Regular" w:cs="Times New Roman"/>
          <w:sz w:val="22"/>
        </w:rPr>
        <w:t>II. ECONOMIAS REGIONALES</w:t>
      </w:r>
    </w:p>
    <w:p w:rsidR="0098019D" w:rsidRPr="004E7F0E" w:rsidRDefault="0098019D" w:rsidP="0098019D">
      <w:pPr>
        <w:autoSpaceDE w:val="0"/>
        <w:autoSpaceDN w:val="0"/>
        <w:adjustRightInd w:val="0"/>
        <w:spacing w:before="0"/>
        <w:ind w:firstLin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Se priorizarán los proyectos de Economías Regionales que se enmarquen dentro de los siguientes ejes de manera no excluyente: </w:t>
      </w:r>
    </w:p>
    <w:p w:rsidR="0098019D" w:rsidRPr="004E7F0E" w:rsidRDefault="0098019D" w:rsidP="0098019D">
      <w:pPr>
        <w:pStyle w:val="Prrafodelista"/>
        <w:numPr>
          <w:ilvl w:val="0"/>
          <w:numId w:val="1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Competitividad y eficiencia productiva: (i) que fortalezcan capacidades productivas en actividades con alta participación de productores locales y estimules la integración local de  los eslabones del complejo; (ii) que disminuyan la heterogeneidad tecno-productiva y/o estimulen la eficiencia técnica a partir de la incorporación de equipamiento de mejoras en las prácticas productivas y/o de innovaciones tecnológicas. </w:t>
      </w:r>
    </w:p>
    <w:p w:rsidR="0098019D" w:rsidRPr="004E7F0E" w:rsidRDefault="0098019D" w:rsidP="0098019D">
      <w:pPr>
        <w:pStyle w:val="Prrafodelista"/>
        <w:numPr>
          <w:ilvl w:val="0"/>
          <w:numId w:val="1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 Desarrollo de mercados y diferenciación de productos: que contribuyan a incrementar las exportaciones como así también fortalezcan al mercado interno desarrollando capacidades para atender requerimientos y nuevas tendencias en el consumo y/o impulsen la diferenciación y el desarrollo de nuevos productos, mejorando calidad y atributos. </w:t>
      </w:r>
    </w:p>
    <w:p w:rsidR="003205C4" w:rsidRPr="004E7F0E" w:rsidRDefault="003205C4" w:rsidP="0098019D">
      <w:pPr>
        <w:pStyle w:val="Prrafodelista"/>
        <w:numPr>
          <w:ilvl w:val="0"/>
          <w:numId w:val="14"/>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Transparencia comercial y equidad en la </w:t>
      </w:r>
      <w:r w:rsidR="005E29FA" w:rsidRPr="004E7F0E">
        <w:rPr>
          <w:rFonts w:ascii="AkzidenzGroteskBE-Regular" w:hAnsi="AkzidenzGroteskBE-Regular" w:cs="Times New Roman"/>
          <w:sz w:val="22"/>
        </w:rPr>
        <w:t xml:space="preserve">distribución de la renta hacia el interior de la cadena: que contribuyan a la transparencia en las relaciones comerciales; generen sistemas de precios de referencia en actividades donde priman asimetrías distributivas y/o fortalezcan las asociaciones de productores o las cooperativas para facilitar la agregación del valor; el desarrollo de nuevos procesos productivos y la diferenciación de productos y que mejores el desarrollo del complejo, en particular,  en aquellos sectores donde la atomización de los agentes incide negativamente. </w:t>
      </w:r>
    </w:p>
    <w:p w:rsidR="005E29FA" w:rsidRPr="004E7F0E" w:rsidRDefault="005E29FA" w:rsidP="005E29FA">
      <w:pPr>
        <w:autoSpaceDE w:val="0"/>
        <w:autoSpaceDN w:val="0"/>
        <w:adjustRightInd w:val="0"/>
        <w:spacing w:before="0"/>
        <w:ind w:left="360" w:firstLin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A partir de los lineamientos anteriormente expuestos, se priorizarán los sectores que formen parte de los complejos que a continuación se detallan. Asimismo, a los fines de esta priorización, se entenderá por complejo al conjunto de actividades necesarias para producir </w:t>
      </w:r>
      <w:r w:rsidRPr="004E7F0E">
        <w:rPr>
          <w:rFonts w:ascii="AkzidenzGroteskBE-Regular" w:hAnsi="AkzidenzGroteskBE-Regular" w:cs="Times New Roman"/>
          <w:sz w:val="22"/>
        </w:rPr>
        <w:lastRenderedPageBreak/>
        <w:t xml:space="preserve">un bien a partir de una determinada materia prima organizadora, abarcando las diferentes etapas de transformación. </w:t>
      </w:r>
    </w:p>
    <w:p w:rsidR="005E29FA" w:rsidRPr="004E7F0E" w:rsidRDefault="005E29FA" w:rsidP="005E29FA">
      <w:pPr>
        <w:autoSpaceDE w:val="0"/>
        <w:autoSpaceDN w:val="0"/>
        <w:adjustRightInd w:val="0"/>
        <w:spacing w:before="0"/>
        <w:ind w:left="360" w:firstLine="0"/>
        <w:jc w:val="both"/>
        <w:rPr>
          <w:rFonts w:ascii="AkzidenzGroteskBE-Regular" w:hAnsi="AkzidenzGroteskBE-Regular" w:cs="Times New Roman"/>
          <w:sz w:val="22"/>
        </w:rPr>
      </w:pPr>
    </w:p>
    <w:p w:rsidR="00A30CE5" w:rsidRPr="004E7F0E" w:rsidRDefault="00A30CE5" w:rsidP="00A30CE5">
      <w:pPr>
        <w:pStyle w:val="Prrafodelista"/>
        <w:numPr>
          <w:ilvl w:val="0"/>
          <w:numId w:val="15"/>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Región Nuevo Cuyo: Complejos Bovino; </w:t>
      </w:r>
      <w:r w:rsidR="00717EE7" w:rsidRPr="004E7F0E">
        <w:rPr>
          <w:rFonts w:ascii="AkzidenzGroteskBE-Regular" w:hAnsi="AkzidenzGroteskBE-Regular" w:cs="Times New Roman"/>
          <w:sz w:val="22"/>
        </w:rPr>
        <w:t xml:space="preserve">Fruta de carozo y pepita; Hortícola aromáticas y semillas; Olivícola, Vitivinícola; </w:t>
      </w:r>
      <w:proofErr w:type="spellStart"/>
      <w:r w:rsidR="00717EE7" w:rsidRPr="004E7F0E">
        <w:rPr>
          <w:rFonts w:ascii="AkzidenzGroteskBE-Regular" w:hAnsi="AkzidenzGroteskBE-Regular" w:cs="Times New Roman"/>
          <w:sz w:val="22"/>
        </w:rPr>
        <w:t>Nogalero</w:t>
      </w:r>
      <w:proofErr w:type="spellEnd"/>
      <w:r w:rsidR="00717EE7" w:rsidRPr="004E7F0E">
        <w:rPr>
          <w:rFonts w:ascii="AkzidenzGroteskBE-Regular" w:hAnsi="AkzidenzGroteskBE-Regular" w:cs="Times New Roman"/>
          <w:sz w:val="22"/>
        </w:rPr>
        <w:t xml:space="preserve">. </w:t>
      </w:r>
    </w:p>
    <w:p w:rsidR="00FD70B1" w:rsidRPr="004E7F0E" w:rsidRDefault="00717EE7" w:rsidP="00FD70B1">
      <w:pPr>
        <w:pStyle w:val="Prrafodelista"/>
        <w:numPr>
          <w:ilvl w:val="0"/>
          <w:numId w:val="15"/>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Región Noreste: Complejos Algodonero-textil; Apícola; Bovino; Foresto-industrial; Cítrico dulces; Hortícola, aromáticas y semillas; Yerbatero-</w:t>
      </w:r>
      <w:proofErr w:type="spellStart"/>
      <w:r w:rsidRPr="004E7F0E">
        <w:rPr>
          <w:rFonts w:ascii="AkzidenzGroteskBE-Regular" w:hAnsi="AkzidenzGroteskBE-Regular" w:cs="Times New Roman"/>
          <w:sz w:val="22"/>
        </w:rPr>
        <w:t>teal</w:t>
      </w:r>
      <w:r w:rsidR="00FD70B1" w:rsidRPr="004E7F0E">
        <w:rPr>
          <w:rFonts w:ascii="AkzidenzGroteskBE-Regular" w:hAnsi="AkzidenzGroteskBE-Regular" w:cs="Times New Roman"/>
          <w:sz w:val="22"/>
        </w:rPr>
        <w:t>e</w:t>
      </w:r>
      <w:r w:rsidRPr="004E7F0E">
        <w:rPr>
          <w:rFonts w:ascii="AkzidenzGroteskBE-Regular" w:hAnsi="AkzidenzGroteskBE-Regular" w:cs="Times New Roman"/>
          <w:sz w:val="22"/>
        </w:rPr>
        <w:t>ro</w:t>
      </w:r>
      <w:proofErr w:type="spellEnd"/>
      <w:r w:rsidR="00FD70B1" w:rsidRPr="004E7F0E">
        <w:rPr>
          <w:rFonts w:ascii="AkzidenzGroteskBE-Regular" w:hAnsi="AkzidenzGroteskBE-Regular" w:cs="Times New Roman"/>
          <w:sz w:val="22"/>
        </w:rPr>
        <w:t>.</w:t>
      </w:r>
    </w:p>
    <w:p w:rsidR="00FD70B1" w:rsidRPr="004E7F0E" w:rsidRDefault="00FD70B1" w:rsidP="00FD70B1">
      <w:pPr>
        <w:pStyle w:val="Prrafodelista"/>
        <w:numPr>
          <w:ilvl w:val="0"/>
          <w:numId w:val="15"/>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Región Noroeste: Complejos Algodonero-Textil; Bovino; Caprino-ovino; Cítrico dulces y frutas finas; Hortícola, aromáticas y semillas; Olivícola; Vitivinícola. </w:t>
      </w:r>
    </w:p>
    <w:p w:rsidR="00A71647" w:rsidRPr="004E7F0E" w:rsidRDefault="00FD70B1" w:rsidP="00FD70B1">
      <w:pPr>
        <w:pStyle w:val="Prrafodelista"/>
        <w:numPr>
          <w:ilvl w:val="0"/>
          <w:numId w:val="15"/>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Región Patagonia: Complejos Apícolas; Bovino; Caprino-ovino, Fruta de pepita; Hortícola, aromáticas</w:t>
      </w:r>
      <w:r w:rsidR="00A71647" w:rsidRPr="004E7F0E">
        <w:rPr>
          <w:rFonts w:ascii="AkzidenzGroteskBE-Regular" w:hAnsi="AkzidenzGroteskBE-Regular" w:cs="Times New Roman"/>
          <w:sz w:val="22"/>
        </w:rPr>
        <w:t xml:space="preserve"> y semillas. </w:t>
      </w:r>
    </w:p>
    <w:p w:rsidR="002B44DF" w:rsidRPr="004E7F0E" w:rsidRDefault="00A71647" w:rsidP="00FD70B1">
      <w:pPr>
        <w:pStyle w:val="Prrafodelista"/>
        <w:numPr>
          <w:ilvl w:val="0"/>
          <w:numId w:val="15"/>
        </w:numPr>
        <w:autoSpaceDE w:val="0"/>
        <w:autoSpaceDN w:val="0"/>
        <w:adjustRightInd w:val="0"/>
        <w:spacing w:before="0"/>
        <w:jc w:val="both"/>
        <w:rPr>
          <w:rFonts w:ascii="AkzidenzGroteskBE-Regular" w:hAnsi="AkzidenzGroteskBE-Regular" w:cs="Times New Roman"/>
          <w:sz w:val="22"/>
        </w:rPr>
      </w:pPr>
      <w:r w:rsidRPr="004E7F0E">
        <w:rPr>
          <w:rFonts w:ascii="AkzidenzGroteskBE-Regular" w:hAnsi="AkzidenzGroteskBE-Regular" w:cs="Times New Roman"/>
          <w:sz w:val="22"/>
        </w:rPr>
        <w:t xml:space="preserve">Región Centro: Complejos Apícola, Avícola, Críticos dulces y frutas finas; Hortícola, aromáticas y semillas; industria láctea, Porcino.  </w:t>
      </w:r>
      <w:r w:rsidR="00FD70B1" w:rsidRPr="004E7F0E">
        <w:rPr>
          <w:rFonts w:ascii="AkzidenzGroteskBE-Regular" w:hAnsi="AkzidenzGroteskBE-Regular" w:cs="Times New Roman"/>
          <w:sz w:val="22"/>
        </w:rPr>
        <w:t xml:space="preserve">   </w:t>
      </w:r>
    </w:p>
    <w:p w:rsidR="00543440" w:rsidRDefault="00543440" w:rsidP="00543440">
      <w:pPr>
        <w:autoSpaceDE w:val="0"/>
        <w:autoSpaceDN w:val="0"/>
        <w:adjustRightInd w:val="0"/>
        <w:spacing w:before="0"/>
        <w:ind w:firstLine="0"/>
        <w:jc w:val="both"/>
        <w:rPr>
          <w:rFonts w:cs="Times New Roman"/>
        </w:rPr>
      </w:pPr>
    </w:p>
    <w:p w:rsidR="00543440" w:rsidRDefault="00543440" w:rsidP="00543440">
      <w:pPr>
        <w:autoSpaceDE w:val="0"/>
        <w:autoSpaceDN w:val="0"/>
        <w:adjustRightInd w:val="0"/>
        <w:spacing w:before="0"/>
        <w:ind w:firstLine="0"/>
        <w:jc w:val="both"/>
        <w:rPr>
          <w:rFonts w:cs="Times New Roman"/>
        </w:rPr>
      </w:pPr>
      <w:r>
        <w:rPr>
          <w:rFonts w:cs="Times New Roman"/>
          <w:noProof/>
          <w:szCs w:val="24"/>
          <w:lang w:val="es-AR" w:eastAsia="es-AR"/>
        </w:rPr>
        <mc:AlternateContent>
          <mc:Choice Requires="wps">
            <w:drawing>
              <wp:anchor distT="0" distB="0" distL="114300" distR="114300" simplePos="0" relativeHeight="251659264" behindDoc="0" locked="0" layoutInCell="1" allowOverlap="1" wp14:anchorId="62B04D5A" wp14:editId="20946BDC">
                <wp:simplePos x="0" y="0"/>
                <wp:positionH relativeFrom="column">
                  <wp:posOffset>175895</wp:posOffset>
                </wp:positionH>
                <wp:positionV relativeFrom="paragraph">
                  <wp:posOffset>64135</wp:posOffset>
                </wp:positionV>
                <wp:extent cx="2257425" cy="1333500"/>
                <wp:effectExtent l="0" t="0" r="2857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33500"/>
                        </a:xfrm>
                        <a:prstGeom prst="rect">
                          <a:avLst/>
                        </a:prstGeom>
                        <a:solidFill>
                          <a:srgbClr val="FFFFFF"/>
                        </a:solidFill>
                        <a:ln w="9525">
                          <a:solidFill>
                            <a:srgbClr val="000000"/>
                          </a:solidFill>
                          <a:miter lim="800000"/>
                          <a:headEnd/>
                          <a:tailEnd/>
                        </a:ln>
                      </wps:spPr>
                      <wps:txbx>
                        <w:txbxContent>
                          <w:p w:rsidR="00543440" w:rsidRDefault="00543440" w:rsidP="00543440">
                            <w:pPr>
                              <w:spacing w:before="0"/>
                              <w:ind w:firstLine="0"/>
                              <w:jc w:val="both"/>
                              <w:rPr>
                                <w:rFonts w:asciiTheme="minorHAnsi" w:hAnsiTheme="minorHAnsi" w:cstheme="minorHAnsi"/>
                                <w:sz w:val="22"/>
                              </w:rPr>
                            </w:pPr>
                            <w:r w:rsidRPr="00844302">
                              <w:rPr>
                                <w:rFonts w:asciiTheme="minorHAnsi" w:hAnsiTheme="minorHAnsi" w:cstheme="minorHAnsi"/>
                                <w:sz w:val="22"/>
                                <w:u w:val="single"/>
                              </w:rPr>
                              <w:t>Contacto</w:t>
                            </w:r>
                            <w:r>
                              <w:rPr>
                                <w:rFonts w:asciiTheme="minorHAnsi" w:hAnsiTheme="minorHAnsi" w:cstheme="minorHAnsi"/>
                                <w:sz w:val="22"/>
                              </w:rPr>
                              <w:t xml:space="preserve">: </w:t>
                            </w:r>
                          </w:p>
                          <w:p w:rsidR="00543440" w:rsidRDefault="00543440" w:rsidP="00543440">
                            <w:pPr>
                              <w:spacing w:before="0"/>
                              <w:ind w:firstLine="0"/>
                              <w:jc w:val="both"/>
                              <w:rPr>
                                <w:rFonts w:asciiTheme="minorHAnsi" w:hAnsiTheme="minorHAnsi" w:cstheme="minorHAnsi"/>
                                <w:b/>
                                <w:sz w:val="22"/>
                              </w:rPr>
                            </w:pPr>
                          </w:p>
                          <w:p w:rsidR="00543440" w:rsidRDefault="00543440" w:rsidP="00543440">
                            <w:pPr>
                              <w:spacing w:before="0"/>
                              <w:ind w:firstLine="0"/>
                              <w:jc w:val="both"/>
                              <w:rPr>
                                <w:rFonts w:asciiTheme="minorHAnsi" w:hAnsiTheme="minorHAnsi" w:cstheme="minorHAnsi"/>
                                <w:b/>
                                <w:sz w:val="22"/>
                              </w:rPr>
                            </w:pPr>
                            <w:r>
                              <w:rPr>
                                <w:rFonts w:asciiTheme="minorHAnsi" w:hAnsiTheme="minorHAnsi" w:cstheme="minorHAnsi"/>
                                <w:b/>
                                <w:sz w:val="22"/>
                              </w:rPr>
                              <w:t>FONDEAR</w:t>
                            </w:r>
                          </w:p>
                          <w:p w:rsidR="00543440" w:rsidRDefault="00543440" w:rsidP="00543440">
                            <w:pPr>
                              <w:spacing w:before="0"/>
                              <w:ind w:firstLine="0"/>
                              <w:jc w:val="both"/>
                              <w:rPr>
                                <w:rFonts w:asciiTheme="minorHAnsi" w:hAnsiTheme="minorHAnsi" w:cstheme="minorHAnsi"/>
                                <w:sz w:val="22"/>
                              </w:rPr>
                            </w:pPr>
                            <w:proofErr w:type="spellStart"/>
                            <w:r>
                              <w:rPr>
                                <w:rFonts w:asciiTheme="minorHAnsi" w:hAnsiTheme="minorHAnsi" w:cstheme="minorHAnsi"/>
                                <w:sz w:val="22"/>
                              </w:rPr>
                              <w:t>Hipolito</w:t>
                            </w:r>
                            <w:proofErr w:type="spellEnd"/>
                            <w:r>
                              <w:rPr>
                                <w:rFonts w:asciiTheme="minorHAnsi" w:hAnsiTheme="minorHAnsi" w:cstheme="minorHAnsi"/>
                                <w:sz w:val="22"/>
                              </w:rPr>
                              <w:t xml:space="preserve"> </w:t>
                            </w:r>
                            <w:proofErr w:type="spellStart"/>
                            <w:r>
                              <w:rPr>
                                <w:rFonts w:asciiTheme="minorHAnsi" w:hAnsiTheme="minorHAnsi" w:cstheme="minorHAnsi"/>
                                <w:sz w:val="22"/>
                              </w:rPr>
                              <w:t>Yrigoyen</w:t>
                            </w:r>
                            <w:proofErr w:type="spellEnd"/>
                            <w:r>
                              <w:rPr>
                                <w:rFonts w:asciiTheme="minorHAnsi" w:hAnsiTheme="minorHAnsi" w:cstheme="minorHAnsi"/>
                                <w:sz w:val="22"/>
                              </w:rPr>
                              <w:t xml:space="preserve"> 250 (CP1086AAB) </w:t>
                            </w:r>
                          </w:p>
                          <w:p w:rsidR="00543440" w:rsidRDefault="00543440" w:rsidP="00543440">
                            <w:pPr>
                              <w:spacing w:before="0"/>
                              <w:ind w:firstLine="0"/>
                              <w:jc w:val="both"/>
                              <w:rPr>
                                <w:rFonts w:asciiTheme="minorHAnsi" w:hAnsiTheme="minorHAnsi" w:cstheme="minorHAnsi"/>
                                <w:sz w:val="22"/>
                              </w:rPr>
                            </w:pPr>
                            <w:r>
                              <w:rPr>
                                <w:rFonts w:asciiTheme="minorHAnsi" w:hAnsiTheme="minorHAnsi" w:cstheme="minorHAnsi"/>
                                <w:sz w:val="22"/>
                              </w:rPr>
                              <w:t>Tel: 4349-5000</w:t>
                            </w:r>
                          </w:p>
                          <w:p w:rsidR="00543440" w:rsidRDefault="00543440" w:rsidP="00543440">
                            <w:pPr>
                              <w:spacing w:before="0"/>
                              <w:ind w:firstLine="0"/>
                              <w:jc w:val="both"/>
                              <w:rPr>
                                <w:rFonts w:asciiTheme="minorHAnsi" w:hAnsiTheme="minorHAnsi" w:cstheme="minorHAnsi"/>
                                <w:sz w:val="22"/>
                              </w:rPr>
                            </w:pPr>
                            <w:r>
                              <w:rPr>
                                <w:rFonts w:asciiTheme="minorHAnsi" w:hAnsiTheme="minorHAnsi" w:cstheme="minorHAnsi"/>
                                <w:sz w:val="22"/>
                              </w:rPr>
                              <w:t xml:space="preserve">E-mail: </w:t>
                            </w:r>
                            <w:hyperlink r:id="rId6" w:history="1">
                              <w:r>
                                <w:rPr>
                                  <w:rStyle w:val="Hipervnculo"/>
                                  <w:rFonts w:asciiTheme="minorHAnsi" w:hAnsiTheme="minorHAnsi" w:cstheme="minorHAnsi"/>
                                  <w:sz w:val="22"/>
                                </w:rPr>
                                <w:t>fondear@mecon.gob.ar</w:t>
                              </w:r>
                            </w:hyperlink>
                          </w:p>
                          <w:p w:rsidR="00543440" w:rsidRDefault="00543440" w:rsidP="00543440">
                            <w:pPr>
                              <w:spacing w:before="0"/>
                              <w:ind w:firstLine="0"/>
                              <w:jc w:val="both"/>
                              <w:rPr>
                                <w:rFonts w:asciiTheme="minorHAnsi" w:hAnsiTheme="minorHAnsi" w:cstheme="minorHAnsi"/>
                                <w:sz w:val="22"/>
                                <w:lang w:val="es-AR"/>
                              </w:rPr>
                            </w:pPr>
                            <w:r>
                              <w:rPr>
                                <w:rFonts w:asciiTheme="minorHAnsi" w:hAnsiTheme="minorHAnsi" w:cstheme="minorHAnsi"/>
                                <w:sz w:val="22"/>
                                <w:lang w:val="es-AR"/>
                              </w:rPr>
                              <w:t xml:space="preserve">Web: </w:t>
                            </w:r>
                            <w:hyperlink r:id="rId7" w:history="1">
                              <w:r>
                                <w:rPr>
                                  <w:rStyle w:val="Hipervnculo"/>
                                  <w:rFonts w:asciiTheme="minorHAnsi" w:hAnsiTheme="minorHAnsi" w:cstheme="minorHAnsi"/>
                                  <w:sz w:val="22"/>
                                  <w:lang w:val="es-AR"/>
                                </w:rPr>
                                <w:t>www.fondear.mecon.gob.ar</w:t>
                              </w:r>
                            </w:hyperlink>
                          </w:p>
                          <w:p w:rsidR="00543440" w:rsidRDefault="00543440" w:rsidP="00543440">
                            <w:pPr>
                              <w:ind w:firstLine="0"/>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3.85pt;margin-top:5.05pt;width:177.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">
                <v:textbox>
                  <w:txbxContent>
                    <w:p w:rsidR="00543440" w:rsidRDefault="00543440" w:rsidP="00543440">
                      <w:pPr>
                        <w:spacing w:before="0"/>
                        <w:ind w:firstLine="0"/>
                        <w:jc w:val="both"/>
                        <w:rPr>
                          <w:rFonts w:asciiTheme="minorHAnsi" w:hAnsiTheme="minorHAnsi" w:cstheme="minorHAnsi"/>
                          <w:sz w:val="22"/>
                        </w:rPr>
                      </w:pPr>
                      <w:bookmarkStart w:id="1" w:name="_GoBack"/>
                      <w:r w:rsidRPr="00844302">
                        <w:rPr>
                          <w:rFonts w:asciiTheme="minorHAnsi" w:hAnsiTheme="minorHAnsi" w:cstheme="minorHAnsi"/>
                          <w:sz w:val="22"/>
                          <w:u w:val="single"/>
                        </w:rPr>
                        <w:t>Contacto</w:t>
                      </w:r>
                      <w:bookmarkEnd w:id="1"/>
                      <w:r>
                        <w:rPr>
                          <w:rFonts w:asciiTheme="minorHAnsi" w:hAnsiTheme="minorHAnsi" w:cstheme="minorHAnsi"/>
                          <w:sz w:val="22"/>
                        </w:rPr>
                        <w:t xml:space="preserve">: </w:t>
                      </w:r>
                    </w:p>
                    <w:p w:rsidR="00543440" w:rsidRDefault="00543440" w:rsidP="00543440">
                      <w:pPr>
                        <w:spacing w:before="0"/>
                        <w:ind w:firstLine="0"/>
                        <w:jc w:val="both"/>
                        <w:rPr>
                          <w:rFonts w:asciiTheme="minorHAnsi" w:hAnsiTheme="minorHAnsi" w:cstheme="minorHAnsi"/>
                          <w:b/>
                          <w:sz w:val="22"/>
                        </w:rPr>
                      </w:pPr>
                    </w:p>
                    <w:p w:rsidR="00543440" w:rsidRDefault="00543440" w:rsidP="00543440">
                      <w:pPr>
                        <w:spacing w:before="0"/>
                        <w:ind w:firstLine="0"/>
                        <w:jc w:val="both"/>
                        <w:rPr>
                          <w:rFonts w:asciiTheme="minorHAnsi" w:hAnsiTheme="minorHAnsi" w:cstheme="minorHAnsi"/>
                          <w:b/>
                          <w:sz w:val="22"/>
                        </w:rPr>
                      </w:pPr>
                      <w:r>
                        <w:rPr>
                          <w:rFonts w:asciiTheme="minorHAnsi" w:hAnsiTheme="minorHAnsi" w:cstheme="minorHAnsi"/>
                          <w:b/>
                          <w:sz w:val="22"/>
                        </w:rPr>
                        <w:t>FONDEAR</w:t>
                      </w:r>
                    </w:p>
                    <w:p w:rsidR="00543440" w:rsidRDefault="00543440" w:rsidP="00543440">
                      <w:pPr>
                        <w:spacing w:before="0"/>
                        <w:ind w:firstLine="0"/>
                        <w:jc w:val="both"/>
                        <w:rPr>
                          <w:rFonts w:asciiTheme="minorHAnsi" w:hAnsiTheme="minorHAnsi" w:cstheme="minorHAnsi"/>
                          <w:sz w:val="22"/>
                        </w:rPr>
                      </w:pPr>
                      <w:proofErr w:type="spellStart"/>
                      <w:r>
                        <w:rPr>
                          <w:rFonts w:asciiTheme="minorHAnsi" w:hAnsiTheme="minorHAnsi" w:cstheme="minorHAnsi"/>
                          <w:sz w:val="22"/>
                        </w:rPr>
                        <w:t>Hipolito</w:t>
                      </w:r>
                      <w:proofErr w:type="spellEnd"/>
                      <w:r>
                        <w:rPr>
                          <w:rFonts w:asciiTheme="minorHAnsi" w:hAnsiTheme="minorHAnsi" w:cstheme="minorHAnsi"/>
                          <w:sz w:val="22"/>
                        </w:rPr>
                        <w:t xml:space="preserve"> </w:t>
                      </w:r>
                      <w:proofErr w:type="spellStart"/>
                      <w:r>
                        <w:rPr>
                          <w:rFonts w:asciiTheme="minorHAnsi" w:hAnsiTheme="minorHAnsi" w:cstheme="minorHAnsi"/>
                          <w:sz w:val="22"/>
                        </w:rPr>
                        <w:t>Yrigoyen</w:t>
                      </w:r>
                      <w:proofErr w:type="spellEnd"/>
                      <w:r>
                        <w:rPr>
                          <w:rFonts w:asciiTheme="minorHAnsi" w:hAnsiTheme="minorHAnsi" w:cstheme="minorHAnsi"/>
                          <w:sz w:val="22"/>
                        </w:rPr>
                        <w:t xml:space="preserve"> 250 (CP1086AAB) </w:t>
                      </w:r>
                    </w:p>
                    <w:p w:rsidR="00543440" w:rsidRDefault="00543440" w:rsidP="00543440">
                      <w:pPr>
                        <w:spacing w:before="0"/>
                        <w:ind w:firstLine="0"/>
                        <w:jc w:val="both"/>
                        <w:rPr>
                          <w:rFonts w:asciiTheme="minorHAnsi" w:hAnsiTheme="minorHAnsi" w:cstheme="minorHAnsi"/>
                          <w:sz w:val="22"/>
                        </w:rPr>
                      </w:pPr>
                      <w:r>
                        <w:rPr>
                          <w:rFonts w:asciiTheme="minorHAnsi" w:hAnsiTheme="minorHAnsi" w:cstheme="minorHAnsi"/>
                          <w:sz w:val="22"/>
                        </w:rPr>
                        <w:t>Tel: 4349-5000</w:t>
                      </w:r>
                    </w:p>
                    <w:p w:rsidR="00543440" w:rsidRDefault="00543440" w:rsidP="00543440">
                      <w:pPr>
                        <w:spacing w:before="0"/>
                        <w:ind w:firstLine="0"/>
                        <w:jc w:val="both"/>
                        <w:rPr>
                          <w:rFonts w:asciiTheme="minorHAnsi" w:hAnsiTheme="minorHAnsi" w:cstheme="minorHAnsi"/>
                          <w:sz w:val="22"/>
                        </w:rPr>
                      </w:pPr>
                      <w:r>
                        <w:rPr>
                          <w:rFonts w:asciiTheme="minorHAnsi" w:hAnsiTheme="minorHAnsi" w:cstheme="minorHAnsi"/>
                          <w:sz w:val="22"/>
                        </w:rPr>
                        <w:t xml:space="preserve">E-mail: </w:t>
                      </w:r>
                      <w:hyperlink r:id="rId8" w:history="1">
                        <w:r>
                          <w:rPr>
                            <w:rStyle w:val="Hipervnculo"/>
                            <w:rFonts w:asciiTheme="minorHAnsi" w:hAnsiTheme="minorHAnsi" w:cstheme="minorHAnsi"/>
                            <w:sz w:val="22"/>
                          </w:rPr>
                          <w:t>fondear@mecon.gob.ar</w:t>
                        </w:r>
                      </w:hyperlink>
                    </w:p>
                    <w:p w:rsidR="00543440" w:rsidRDefault="00543440" w:rsidP="00543440">
                      <w:pPr>
                        <w:spacing w:before="0"/>
                        <w:ind w:firstLine="0"/>
                        <w:jc w:val="both"/>
                        <w:rPr>
                          <w:rFonts w:asciiTheme="minorHAnsi" w:hAnsiTheme="minorHAnsi" w:cstheme="minorHAnsi"/>
                          <w:sz w:val="22"/>
                          <w:lang w:val="es-AR"/>
                        </w:rPr>
                      </w:pPr>
                      <w:r>
                        <w:rPr>
                          <w:rFonts w:asciiTheme="minorHAnsi" w:hAnsiTheme="minorHAnsi" w:cstheme="minorHAnsi"/>
                          <w:sz w:val="22"/>
                          <w:lang w:val="es-AR"/>
                        </w:rPr>
                        <w:t xml:space="preserve">Web: </w:t>
                      </w:r>
                      <w:hyperlink r:id="rId9" w:history="1">
                        <w:r>
                          <w:rPr>
                            <w:rStyle w:val="Hipervnculo"/>
                            <w:rFonts w:asciiTheme="minorHAnsi" w:hAnsiTheme="minorHAnsi" w:cstheme="minorHAnsi"/>
                            <w:sz w:val="22"/>
                            <w:lang w:val="es-AR"/>
                          </w:rPr>
                          <w:t>www.fondear.mecon.gob.ar</w:t>
                        </w:r>
                      </w:hyperlink>
                    </w:p>
                    <w:p w:rsidR="00543440" w:rsidRDefault="00543440" w:rsidP="00543440">
                      <w:pPr>
                        <w:ind w:firstLine="0"/>
                        <w:rPr>
                          <w:lang w:val="es-AR"/>
                        </w:rPr>
                      </w:pPr>
                    </w:p>
                  </w:txbxContent>
                </v:textbox>
              </v:shape>
            </w:pict>
          </mc:Fallback>
        </mc:AlternateContent>
      </w:r>
    </w:p>
    <w:p w:rsidR="00543440" w:rsidRPr="00543440" w:rsidRDefault="00543440" w:rsidP="00543440">
      <w:pPr>
        <w:autoSpaceDE w:val="0"/>
        <w:autoSpaceDN w:val="0"/>
        <w:adjustRightInd w:val="0"/>
        <w:spacing w:before="0"/>
        <w:ind w:firstLine="0"/>
        <w:jc w:val="both"/>
        <w:rPr>
          <w:rFonts w:cs="Times New Roman"/>
        </w:rPr>
      </w:pPr>
    </w:p>
    <w:p w:rsidR="00AE4091" w:rsidRDefault="00AE4091" w:rsidP="00AB6179">
      <w:pPr>
        <w:autoSpaceDE w:val="0"/>
        <w:autoSpaceDN w:val="0"/>
        <w:adjustRightInd w:val="0"/>
        <w:spacing w:before="0"/>
        <w:ind w:firstLine="0"/>
        <w:jc w:val="both"/>
        <w:rPr>
          <w:b/>
        </w:rPr>
      </w:pPr>
    </w:p>
    <w:sectPr w:rsidR="00AE40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zidenzGroteskB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BEA"/>
    <w:multiLevelType w:val="hybridMultilevel"/>
    <w:tmpl w:val="72B02CC8"/>
    <w:lvl w:ilvl="0" w:tplc="A4E6BB00">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12C12BC8"/>
    <w:multiLevelType w:val="hybridMultilevel"/>
    <w:tmpl w:val="C5FE5498"/>
    <w:lvl w:ilvl="0" w:tplc="9C8657B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605717D"/>
    <w:multiLevelType w:val="hybridMultilevel"/>
    <w:tmpl w:val="3FDA0AA2"/>
    <w:lvl w:ilvl="0" w:tplc="1F42A0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24C26064"/>
    <w:multiLevelType w:val="hybridMultilevel"/>
    <w:tmpl w:val="AE241276"/>
    <w:lvl w:ilvl="0" w:tplc="05E22932">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5544EA6"/>
    <w:multiLevelType w:val="hybridMultilevel"/>
    <w:tmpl w:val="4392B7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61674D"/>
    <w:multiLevelType w:val="hybridMultilevel"/>
    <w:tmpl w:val="8F7C20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FDF4801"/>
    <w:multiLevelType w:val="hybridMultilevel"/>
    <w:tmpl w:val="860868FA"/>
    <w:lvl w:ilvl="0" w:tplc="B9EE6AB2">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310A0E23"/>
    <w:multiLevelType w:val="hybridMultilevel"/>
    <w:tmpl w:val="653C231A"/>
    <w:lvl w:ilvl="0" w:tplc="49EEADB4">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37916EE2"/>
    <w:multiLevelType w:val="hybridMultilevel"/>
    <w:tmpl w:val="A9D27BA8"/>
    <w:lvl w:ilvl="0" w:tplc="1A7ED04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3ED251FB"/>
    <w:multiLevelType w:val="hybridMultilevel"/>
    <w:tmpl w:val="D51AE1DA"/>
    <w:lvl w:ilvl="0" w:tplc="1F9E7ABA">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3EE45F37"/>
    <w:multiLevelType w:val="hybridMultilevel"/>
    <w:tmpl w:val="D332A694"/>
    <w:lvl w:ilvl="0" w:tplc="0E82E676">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5493412A"/>
    <w:multiLevelType w:val="hybridMultilevel"/>
    <w:tmpl w:val="7AF0B902"/>
    <w:lvl w:ilvl="0" w:tplc="BEA07B2A">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5586399B"/>
    <w:multiLevelType w:val="hybridMultilevel"/>
    <w:tmpl w:val="79A6406E"/>
    <w:lvl w:ilvl="0" w:tplc="B8947D6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604A51B9"/>
    <w:multiLevelType w:val="hybridMultilevel"/>
    <w:tmpl w:val="2FA05C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674320C"/>
    <w:multiLevelType w:val="hybridMultilevel"/>
    <w:tmpl w:val="85908A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3"/>
  </w:num>
  <w:num w:numId="8">
    <w:abstractNumId w:val="11"/>
  </w:num>
  <w:num w:numId="9">
    <w:abstractNumId w:val="10"/>
  </w:num>
  <w:num w:numId="10">
    <w:abstractNumId w:val="8"/>
  </w:num>
  <w:num w:numId="11">
    <w:abstractNumId w:val="2"/>
  </w:num>
  <w:num w:numId="12">
    <w:abstractNumId w:val="0"/>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05"/>
    <w:rsid w:val="000B558D"/>
    <w:rsid w:val="000F424C"/>
    <w:rsid w:val="00151736"/>
    <w:rsid w:val="00152F3B"/>
    <w:rsid w:val="00171612"/>
    <w:rsid w:val="00186A5C"/>
    <w:rsid w:val="001944D5"/>
    <w:rsid w:val="001E1656"/>
    <w:rsid w:val="001E165D"/>
    <w:rsid w:val="00201F50"/>
    <w:rsid w:val="002045AF"/>
    <w:rsid w:val="00241E03"/>
    <w:rsid w:val="00266732"/>
    <w:rsid w:val="00267FF0"/>
    <w:rsid w:val="002B44DF"/>
    <w:rsid w:val="002B7F46"/>
    <w:rsid w:val="002E5067"/>
    <w:rsid w:val="003205C4"/>
    <w:rsid w:val="003515F0"/>
    <w:rsid w:val="003B6C30"/>
    <w:rsid w:val="003C0A25"/>
    <w:rsid w:val="0043378A"/>
    <w:rsid w:val="004B5F19"/>
    <w:rsid w:val="004C4FA8"/>
    <w:rsid w:val="004E7F0E"/>
    <w:rsid w:val="00543440"/>
    <w:rsid w:val="005466E5"/>
    <w:rsid w:val="00592FF8"/>
    <w:rsid w:val="005E29FA"/>
    <w:rsid w:val="00624089"/>
    <w:rsid w:val="00717EE7"/>
    <w:rsid w:val="00790261"/>
    <w:rsid w:val="00801465"/>
    <w:rsid w:val="00816D22"/>
    <w:rsid w:val="00824023"/>
    <w:rsid w:val="00844302"/>
    <w:rsid w:val="00937057"/>
    <w:rsid w:val="0094779E"/>
    <w:rsid w:val="00953DED"/>
    <w:rsid w:val="00954D94"/>
    <w:rsid w:val="00975795"/>
    <w:rsid w:val="0098019D"/>
    <w:rsid w:val="00981C87"/>
    <w:rsid w:val="0098797B"/>
    <w:rsid w:val="009936A8"/>
    <w:rsid w:val="009C26DF"/>
    <w:rsid w:val="00A30CE5"/>
    <w:rsid w:val="00A4088C"/>
    <w:rsid w:val="00A71647"/>
    <w:rsid w:val="00AB6179"/>
    <w:rsid w:val="00AD7AAD"/>
    <w:rsid w:val="00AE4091"/>
    <w:rsid w:val="00B35B81"/>
    <w:rsid w:val="00BC4D35"/>
    <w:rsid w:val="00C155DD"/>
    <w:rsid w:val="00C176CB"/>
    <w:rsid w:val="00C17B8D"/>
    <w:rsid w:val="00C77D59"/>
    <w:rsid w:val="00C80479"/>
    <w:rsid w:val="00CB2689"/>
    <w:rsid w:val="00D42484"/>
    <w:rsid w:val="00D9519F"/>
    <w:rsid w:val="00D95912"/>
    <w:rsid w:val="00E03C1D"/>
    <w:rsid w:val="00E3654A"/>
    <w:rsid w:val="00E378E4"/>
    <w:rsid w:val="00E72334"/>
    <w:rsid w:val="00E81905"/>
    <w:rsid w:val="00E9517C"/>
    <w:rsid w:val="00EA22EC"/>
    <w:rsid w:val="00EC0EA8"/>
    <w:rsid w:val="00F21BF2"/>
    <w:rsid w:val="00F33F71"/>
    <w:rsid w:val="00F70820"/>
    <w:rsid w:val="00FD7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5F0"/>
    <w:pPr>
      <w:ind w:left="720"/>
      <w:contextualSpacing/>
    </w:pPr>
  </w:style>
  <w:style w:type="paragraph" w:styleId="Textodeglobo">
    <w:name w:val="Balloon Text"/>
    <w:basedOn w:val="Normal"/>
    <w:link w:val="TextodegloboCar"/>
    <w:uiPriority w:val="99"/>
    <w:semiHidden/>
    <w:unhideWhenUsed/>
    <w:rsid w:val="00AE409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091"/>
    <w:rPr>
      <w:rFonts w:ascii="Tahoma" w:hAnsi="Tahoma" w:cs="Tahoma"/>
      <w:sz w:val="16"/>
      <w:szCs w:val="16"/>
    </w:rPr>
  </w:style>
  <w:style w:type="character" w:styleId="Hipervnculo">
    <w:name w:val="Hyperlink"/>
    <w:basedOn w:val="Fuentedeprrafopredeter"/>
    <w:uiPriority w:val="99"/>
    <w:semiHidden/>
    <w:unhideWhenUsed/>
    <w:rsid w:val="00543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5F0"/>
    <w:pPr>
      <w:ind w:left="720"/>
      <w:contextualSpacing/>
    </w:pPr>
  </w:style>
  <w:style w:type="paragraph" w:styleId="Textodeglobo">
    <w:name w:val="Balloon Text"/>
    <w:basedOn w:val="Normal"/>
    <w:link w:val="TextodegloboCar"/>
    <w:uiPriority w:val="99"/>
    <w:semiHidden/>
    <w:unhideWhenUsed/>
    <w:rsid w:val="00AE409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091"/>
    <w:rPr>
      <w:rFonts w:ascii="Tahoma" w:hAnsi="Tahoma" w:cs="Tahoma"/>
      <w:sz w:val="16"/>
      <w:szCs w:val="16"/>
    </w:rPr>
  </w:style>
  <w:style w:type="character" w:styleId="Hipervnculo">
    <w:name w:val="Hyperlink"/>
    <w:basedOn w:val="Fuentedeprrafopredeter"/>
    <w:uiPriority w:val="99"/>
    <w:semiHidden/>
    <w:unhideWhenUsed/>
    <w:rsid w:val="0054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ear@mecon.gob.ar" TargetMode="External"/><Relationship Id="rId3" Type="http://schemas.microsoft.com/office/2007/relationships/stylesWithEffects" Target="stylesWithEffects.xml"/><Relationship Id="rId7" Type="http://schemas.openxmlformats.org/officeDocument/2006/relationships/hyperlink" Target="http://www.fondear.mecon.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ear@mecon.gob.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ear.mecon.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 Baldinelli</dc:creator>
  <cp:lastModifiedBy>Mariela Sosa</cp:lastModifiedBy>
  <cp:revision>2</cp:revision>
  <cp:lastPrinted>2014-07-28T14:48:00Z</cp:lastPrinted>
  <dcterms:created xsi:type="dcterms:W3CDTF">2014-08-14T15:49:00Z</dcterms:created>
  <dcterms:modified xsi:type="dcterms:W3CDTF">2014-08-14T15:49:00Z</dcterms:modified>
</cp:coreProperties>
</file>